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</w:p>
    <w:p>
      <w:pPr>
        <w:pStyle w:val="3"/>
        <w:bidi w:val="0"/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一、</w:t>
      </w:r>
      <w:r>
        <w:rPr>
          <w:rFonts w:hint="eastAsia" w:ascii="宋体" w:hAnsi="宋体" w:eastAsia="宋体" w:cs="宋体"/>
          <w:sz w:val="30"/>
          <w:szCs w:val="30"/>
        </w:rPr>
        <w:t>裂隙灯技术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需求</w:t>
      </w:r>
    </w:p>
    <w:p>
      <w:pPr>
        <w:pStyle w:val="2"/>
        <w:tabs>
          <w:tab w:val="left" w:pos="3420"/>
        </w:tabs>
        <w:spacing w:before="34" w:line="240" w:lineRule="auto"/>
        <w:rPr>
          <w:rFonts w:hint="eastAsia" w:ascii="宋体" w:hAnsi="宋体" w:eastAsia="宋体" w:cs="宋体"/>
          <w:b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bidi="ar-SA"/>
        </w:rPr>
        <w:t>一、主要功能</w:t>
      </w:r>
    </w:p>
    <w:p>
      <w:pPr>
        <w:pStyle w:val="9"/>
        <w:numPr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设备采用LED照明，采用转鼓变倍的方式实现各个倍率之间的转换，变倍包含（</w:t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.3</w:t>
      </w:r>
      <w:r>
        <w:rPr>
          <w:rFonts w:hint="eastAsia" w:ascii="宋体" w:hAnsi="宋体" w:eastAsia="宋体" w:cs="宋体"/>
          <w:sz w:val="24"/>
          <w:szCs w:val="24"/>
        </w:rPr>
        <w:t xml:space="preserve">X、10X、16X、25X、40X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）。设备具备</w:t>
      </w:r>
      <w:r>
        <w:rPr>
          <w:rFonts w:hint="eastAsia" w:ascii="宋体" w:hAnsi="宋体" w:eastAsia="宋体" w:cs="宋体"/>
          <w:sz w:val="24"/>
          <w:szCs w:val="24"/>
        </w:rPr>
        <w:t>内置电源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黄色滤光片、测量目镜、示教镜等</w:t>
      </w:r>
    </w:p>
    <w:p>
      <w:pPr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参数要求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显微镜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采用</w:t>
      </w:r>
      <w:r>
        <w:rPr>
          <w:rFonts w:hint="eastAsia" w:ascii="宋体" w:hAnsi="宋体" w:eastAsia="宋体" w:cs="宋体"/>
          <w:sz w:val="24"/>
          <w:szCs w:val="24"/>
        </w:rPr>
        <w:t>伽利略平行夹角式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内置黄色滤光片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目镜倍率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12.5X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夹角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0°，</w:t>
      </w:r>
      <w:r>
        <w:rPr>
          <w:rFonts w:hint="eastAsia" w:ascii="宋体" w:hAnsi="宋体" w:eastAsia="宋体" w:cs="宋体"/>
          <w:sz w:val="24"/>
          <w:szCs w:val="24"/>
        </w:rPr>
        <w:t>瞳距调节范围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52mm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~80</w:t>
      </w:r>
      <w:r>
        <w:rPr>
          <w:rFonts w:hint="eastAsia" w:ascii="宋体" w:hAnsi="宋体" w:eastAsia="宋体" w:cs="宋体"/>
          <w:sz w:val="24"/>
          <w:szCs w:val="24"/>
        </w:rPr>
        <w:t xml:space="preserve">mm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屈光度调节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~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视场直径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优于</w:t>
      </w:r>
      <w:r>
        <w:rPr>
          <w:rFonts w:hint="eastAsia" w:ascii="宋体" w:hAnsi="宋体" w:eastAsia="宋体" w:cs="宋体"/>
          <w:sz w:val="24"/>
          <w:szCs w:val="24"/>
        </w:rPr>
        <w:sym w:font="Symbol" w:char="F0C6"/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 xml:space="preserve">mm、 </w:t>
      </w:r>
      <w:r>
        <w:rPr>
          <w:rFonts w:hint="eastAsia" w:ascii="宋体" w:hAnsi="宋体" w:eastAsia="宋体" w:cs="宋体"/>
          <w:sz w:val="24"/>
          <w:szCs w:val="24"/>
        </w:rPr>
        <w:sym w:font="Symbol" w:char="F0C6"/>
      </w:r>
      <w:r>
        <w:rPr>
          <w:rFonts w:hint="eastAsia" w:ascii="宋体" w:hAnsi="宋体" w:eastAsia="宋体" w:cs="宋体"/>
          <w:sz w:val="24"/>
          <w:szCs w:val="24"/>
        </w:rPr>
        <w:t>22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.3</w:t>
      </w:r>
      <w:r>
        <w:rPr>
          <w:rFonts w:hint="eastAsia" w:ascii="宋体" w:hAnsi="宋体" w:eastAsia="宋体" w:cs="宋体"/>
          <w:sz w:val="24"/>
          <w:szCs w:val="24"/>
        </w:rPr>
        <w:t xml:space="preserve">mm、 </w:t>
      </w:r>
      <w:r>
        <w:rPr>
          <w:rFonts w:hint="eastAsia" w:ascii="宋体" w:hAnsi="宋体" w:eastAsia="宋体" w:cs="宋体"/>
          <w:sz w:val="24"/>
          <w:szCs w:val="24"/>
        </w:rPr>
        <w:sym w:font="Symbol" w:char="F0C6"/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 xml:space="preserve">mm、 </w:t>
      </w:r>
      <w:r>
        <w:rPr>
          <w:rFonts w:hint="eastAsia" w:ascii="宋体" w:hAnsi="宋体" w:eastAsia="宋体" w:cs="宋体"/>
          <w:sz w:val="24"/>
          <w:szCs w:val="24"/>
        </w:rPr>
        <w:sym w:font="Symbol" w:char="F0C6"/>
      </w:r>
      <w:r>
        <w:rPr>
          <w:rFonts w:hint="eastAsia" w:ascii="宋体" w:hAnsi="宋体" w:eastAsia="宋体" w:cs="宋体"/>
          <w:sz w:val="24"/>
          <w:szCs w:val="24"/>
        </w:rPr>
        <w:t>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sym w:font="Symbol" w:char="F0C6"/>
      </w:r>
      <w:r>
        <w:rPr>
          <w:rFonts w:hint="eastAsia"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裂隙宽度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0-14mm </w:t>
      </w:r>
      <w:r>
        <w:rPr>
          <w:rFonts w:hint="eastAsia" w:ascii="宋体" w:hAnsi="宋体" w:eastAsia="宋体" w:cs="宋体"/>
          <w:sz w:val="24"/>
          <w:szCs w:val="24"/>
        </w:rPr>
        <w:t xml:space="preserve">连续可调（在 </w:t>
      </w:r>
      <w:r>
        <w:rPr>
          <w:rFonts w:hint="eastAsia" w:ascii="宋体" w:hAnsi="宋体" w:eastAsia="宋体" w:cs="宋体"/>
          <w:sz w:val="24"/>
          <w:szCs w:val="24"/>
        </w:rPr>
        <w:t xml:space="preserve">14mm </w:t>
      </w:r>
      <w:r>
        <w:rPr>
          <w:rFonts w:hint="eastAsia" w:ascii="宋体" w:hAnsi="宋体" w:eastAsia="宋体" w:cs="宋体"/>
          <w:sz w:val="24"/>
          <w:szCs w:val="24"/>
        </w:rPr>
        <w:t>时，裂隙呈圆形）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裂隙角度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°~</w:t>
      </w:r>
      <w:r>
        <w:rPr>
          <w:rFonts w:hint="eastAsia" w:ascii="宋体" w:hAnsi="宋体" w:eastAsia="宋体" w:cs="宋体"/>
          <w:sz w:val="24"/>
          <w:szCs w:val="24"/>
        </w:rPr>
        <w:t>180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°</w:t>
      </w:r>
      <w:r>
        <w:rPr>
          <w:rFonts w:hint="eastAsia" w:ascii="宋体" w:hAnsi="宋体" w:eastAsia="宋体" w:cs="宋体"/>
          <w:sz w:val="24"/>
          <w:szCs w:val="24"/>
        </w:rPr>
        <w:t>由垂直到水平方向连续可调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滤色片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具备隔热</w:t>
      </w:r>
      <w:r>
        <w:rPr>
          <w:rFonts w:hint="eastAsia" w:ascii="宋体" w:hAnsi="宋体" w:eastAsia="宋体" w:cs="宋体"/>
          <w:sz w:val="24"/>
          <w:szCs w:val="24"/>
        </w:rPr>
        <w:t>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无赤片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蓝</w:t>
      </w:r>
      <w:r>
        <w:rPr>
          <w:rFonts w:hint="eastAsia" w:ascii="宋体" w:hAnsi="宋体" w:eastAsia="宋体" w:cs="宋体"/>
          <w:sz w:val="24"/>
          <w:szCs w:val="24"/>
        </w:rPr>
        <w:t>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光阑大小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sym w:font="Symbol" w:char="F0C6"/>
      </w:r>
      <w:r>
        <w:rPr>
          <w:rFonts w:hint="eastAsia" w:ascii="宋体" w:hAnsi="宋体" w:eastAsia="宋体" w:cs="宋体"/>
          <w:sz w:val="24"/>
          <w:szCs w:val="24"/>
        </w:rPr>
        <w:t>14mm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sym w:font="Symbol" w:char="F0C6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sym w:font="Symbol" w:char="F0C6"/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.5</w:t>
      </w:r>
      <w:r>
        <w:rPr>
          <w:rFonts w:hint="eastAsia" w:ascii="宋体" w:hAnsi="宋体" w:eastAsia="宋体" w:cs="宋体"/>
          <w:sz w:val="24"/>
          <w:szCs w:val="24"/>
        </w:rPr>
        <w:t>mm、</w:t>
      </w:r>
      <w:r>
        <w:rPr>
          <w:rFonts w:hint="eastAsia" w:ascii="宋体" w:hAnsi="宋体" w:eastAsia="宋体" w:cs="宋体"/>
          <w:sz w:val="24"/>
          <w:szCs w:val="24"/>
        </w:rPr>
        <w:sym w:font="Symbol" w:char="F0C6"/>
      </w:r>
      <w:r>
        <w:rPr>
          <w:rFonts w:hint="eastAsia" w:ascii="宋体" w:hAnsi="宋体" w:eastAsia="宋体" w:cs="宋体"/>
          <w:sz w:val="24"/>
          <w:szCs w:val="24"/>
        </w:rPr>
        <w:t>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照度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≥15</w:t>
      </w:r>
      <w:r>
        <w:rPr>
          <w:rFonts w:hint="eastAsia" w:ascii="宋体" w:hAnsi="宋体" w:eastAsia="宋体" w:cs="宋体"/>
          <w:sz w:val="24"/>
          <w:szCs w:val="24"/>
        </w:rPr>
        <w:t>0klx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 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底座运动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范围≥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mm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（前后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左右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30mm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（上下）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颚托支架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范围≥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80mm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（上下）</w:t>
      </w:r>
    </w:p>
    <w:p>
      <w:pPr>
        <w:jc w:val="both"/>
        <w:rPr>
          <w:rFonts w:hint="eastAsia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</w:t>
      </w:r>
      <w:r>
        <w:rPr>
          <w:rFonts w:hint="eastAsia"/>
          <w:b/>
          <w:bCs/>
          <w:sz w:val="30"/>
          <w:szCs w:val="30"/>
          <w:lang w:eastAsia="zh-CN"/>
        </w:rPr>
        <w:t>精子全自动染片机</w:t>
      </w:r>
      <w:r>
        <w:rPr>
          <w:rFonts w:hint="eastAsia"/>
          <w:b/>
          <w:bCs/>
          <w:sz w:val="30"/>
          <w:szCs w:val="30"/>
          <w:lang w:val="en-US" w:eastAsia="zh-CN"/>
        </w:rPr>
        <w:t>需求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由染色系统和控制系统组成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能够执行巴氏染色流程，并有配套试剂供应。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、适用于精子形态染色，并符合人类精液检查与处理实验室手册（who第五版）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 xml:space="preserve">内置巴氏染色法、改良巴氏染色法、快速染色法三种精子染色专用程序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染色盘玻片位区隔设计;</w:t>
      </w:r>
    </w:p>
    <w:p>
      <w:pPr>
        <w:rPr>
          <w:rFonts w:hint="eastAsia" w:ascii="等线" w:hAnsi="等线" w:eastAsia="等线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内置水平仪，可检测仪器是否放置平衡，设备仅在锁定状态下运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行染色程序，开机自动检测功能。</w:t>
      </w:r>
      <w:r>
        <w:rPr>
          <w:rFonts w:hint="eastAsia"/>
          <w:sz w:val="32"/>
          <w:szCs w:val="32"/>
          <w:lang w:val="en-US" w:eastAsia="zh-CN"/>
        </w:rPr>
        <w:t xml:space="preserve">                    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生物显微镜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1、设备具备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无限远光路设计，支持明场；可升级暗场、相差、简易偏光和荧光；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人性化设计三目镜筒，50/50分光；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具备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10x宽视野目镜，屈光度可调，瞳距可调；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具备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四位物镜转盘，内倾式设计；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具备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四个平场物镜：4x，N.A.=0.10, 工作距离≥26.2mm；10x，N.A.=0.22，工作距离≥7.8mm；40x，N.A.=0.65，工作距离≥0.31mm；100x，N.A.=1.25 油镜，工作距离≥0.10mm；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观察筒可安全旋转；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显微镜机身所有接触面上带银离子抗菌涂层；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预对中，预对焦聚光镜；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聚光镜槽可用于相衬和暗场滑板，且一个滑板实现4位相衬；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10、具备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电源收集盒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垂直手柄；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11、具备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白光LED冷光源照明。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四、经皮黄疸仪需求</w:t>
      </w:r>
    </w:p>
    <w:p>
      <w:pPr>
        <w:widowControl/>
        <w:ind w:left="479" w:leftChars="228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、设备可用于新生儿和儿童的经皮直接胆红素测定。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2、光源采用氙闪光灯，光源寿命不低于15万次；</w:t>
      </w:r>
    </w:p>
    <w:p>
      <w:pPr>
        <w:widowControl/>
        <w:ind w:left="479" w:leftChars="228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3、准确度：±1.5mg/dL；</w:t>
      </w:r>
    </w:p>
    <w:p>
      <w:pPr>
        <w:widowControl/>
        <w:ind w:left="479" w:leftChars="228" w:firstLine="0" w:firstLineChars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4、设备内置电源，并配备充电器；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pStyle w:val="6"/>
        <w:spacing w:line="360" w:lineRule="atLeast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五、</w:t>
      </w:r>
      <w:r>
        <w:rPr>
          <w:rFonts w:hint="eastAsia" w:ascii="宋体" w:hAnsi="宋体" w:eastAsia="宋体" w:cs="宋体"/>
          <w:sz w:val="30"/>
          <w:szCs w:val="30"/>
        </w:rPr>
        <w:t>多功能神经康复诊疗系统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需求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设备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功能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numPr>
          <w:ilvl w:val="0"/>
          <w:numId w:val="0"/>
        </w:numPr>
        <w:spacing w:line="360" w:lineRule="atLeas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</w:t>
      </w:r>
      <w:r>
        <w:rPr>
          <w:rFonts w:hint="eastAsia" w:ascii="宋体" w:hAnsi="宋体" w:eastAsia="宋体" w:cs="宋体"/>
          <w:sz w:val="24"/>
          <w:szCs w:val="24"/>
        </w:rPr>
        <w:t>用于小儿颅脑损伤、脊髓损伤、小儿脑瘫、外周神经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损伤、痉挛状态、迟缓性瘫痪、废用性肌萎缩、关节活动受限、假肢功能训练、神经功能性障碍（如紧张症等）、运动发育落后等引起的运动功能障碍、感觉型障碍、痉挛、脑循环问题的康复治疗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，实现患者（儿）提升肌力、改善关节活动度、提升运动控制能力，重建大脑对肢体的控制，减轻痉挛及改进废用状态、正中神经促醒刺激。                      </w:t>
      </w:r>
    </w:p>
    <w:p>
      <w:pPr>
        <w:numPr>
          <w:ilvl w:val="0"/>
          <w:numId w:val="0"/>
        </w:numPr>
        <w:spacing w:line="360" w:lineRule="atLeas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二、设备要求</w:t>
      </w:r>
    </w:p>
    <w:p>
      <w:pPr>
        <w:numPr>
          <w:ilvl w:val="0"/>
          <w:numId w:val="0"/>
        </w:numPr>
        <w:spacing w:line="360" w:lineRule="atLeast"/>
        <w:ind w:firstLine="480" w:firstLineChars="2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1、配备</w:t>
      </w:r>
      <w:r>
        <w:rPr>
          <w:rFonts w:hint="eastAsia" w:ascii="宋体" w:hAnsi="宋体" w:eastAsia="宋体" w:cs="宋体"/>
          <w:sz w:val="24"/>
          <w:szCs w:val="24"/>
        </w:rPr>
        <w:t>计算机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彩色显示器、扬声器、扫描仪等</w:t>
      </w:r>
    </w:p>
    <w:p>
      <w:pPr>
        <w:numPr>
          <w:ilvl w:val="0"/>
          <w:numId w:val="0"/>
        </w:numPr>
        <w:spacing w:line="360" w:lineRule="atLeas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EMG放大器灵敏度：2～1000μV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tLeas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刺激波形：方波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调制波，</w:t>
      </w:r>
      <w:r>
        <w:rPr>
          <w:rFonts w:hint="eastAsia" w:ascii="宋体" w:hAnsi="宋体" w:eastAsia="宋体" w:cs="宋体"/>
          <w:sz w:val="24"/>
          <w:szCs w:val="24"/>
        </w:rPr>
        <w:t>刺激频率：1Hz～250Hz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脉冲宽度：50～600μs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最大刺激持续时间：60S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上升和下降时间： 0～10S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tLeas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输出电流：0mA～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0mA可调；</w:t>
      </w:r>
    </w:p>
    <w:p>
      <w:pPr>
        <w:numPr>
          <w:numId w:val="0"/>
        </w:numPr>
        <w:spacing w:line="360" w:lineRule="atLeas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5、设备具备多种方式显示表面肌电，包括数字、</w:t>
      </w:r>
      <w:r>
        <w:rPr>
          <w:rFonts w:hint="eastAsia" w:ascii="宋体" w:hAnsi="宋体" w:eastAsia="宋体" w:cs="宋体"/>
          <w:sz w:val="24"/>
          <w:szCs w:val="24"/>
        </w:rPr>
        <w:t>柱状图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等，具备</w:t>
      </w:r>
      <w:r>
        <w:rPr>
          <w:rFonts w:hint="eastAsia" w:ascii="宋体" w:hAnsi="宋体" w:eastAsia="宋体" w:cs="宋体"/>
          <w:sz w:val="24"/>
          <w:szCs w:val="24"/>
        </w:rPr>
        <w:t>自动检测、自动报警功能</w:t>
      </w:r>
    </w:p>
    <w:p>
      <w:pPr>
        <w:spacing w:line="360" w:lineRule="atLeas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6、设具备</w:t>
      </w:r>
      <w:r>
        <w:rPr>
          <w:rFonts w:hint="eastAsia" w:ascii="宋体" w:hAnsi="宋体" w:eastAsia="宋体" w:cs="宋体"/>
          <w:sz w:val="24"/>
          <w:szCs w:val="24"/>
        </w:rPr>
        <w:t>：PBF1、PBF2模式（小肌群，大肌群）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NBF模式（多媒体生物反馈）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TENS1模式（感觉型障碍及神经促通治疗）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TENS2模式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失神经模式、</w:t>
      </w:r>
      <w:r>
        <w:rPr>
          <w:rFonts w:hint="eastAsia" w:ascii="宋体" w:hAnsi="宋体" w:eastAsia="宋体" w:cs="宋体"/>
          <w:sz w:val="24"/>
          <w:szCs w:val="24"/>
        </w:rPr>
        <w:t>ESFN（小脑顶核仿生电刺激，又称脑循环治疗）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治疗模式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tLeast"/>
        <w:ind w:left="420" w:leftChars="20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、治疗过程包括休息、用力、刺激、维持（功能位）四种状态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tLeast"/>
        <w:ind w:left="420" w:leftChars="20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、支持处方预置及后台设置系统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/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ZGM3Y2IyZDczNDg0ZTQ2Yzc0ZGYxMzAxNTFlZWIifQ=="/>
  </w:docVars>
  <w:rsids>
    <w:rsidRoot w:val="06464525"/>
    <w:rsid w:val="01063401"/>
    <w:rsid w:val="06464525"/>
    <w:rsid w:val="089E391F"/>
    <w:rsid w:val="0F2440D7"/>
    <w:rsid w:val="13F37300"/>
    <w:rsid w:val="22D931A6"/>
    <w:rsid w:val="2B3F44D5"/>
    <w:rsid w:val="2DA41DB1"/>
    <w:rsid w:val="317100CF"/>
    <w:rsid w:val="33255969"/>
    <w:rsid w:val="4054083F"/>
    <w:rsid w:val="42FB63F5"/>
    <w:rsid w:val="43371D19"/>
    <w:rsid w:val="7961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宋体"/>
      <w:b/>
      <w:bCs/>
      <w:sz w:val="32"/>
      <w:szCs w:val="32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1267</Words>
  <Characters>1494</Characters>
  <Lines>0</Lines>
  <Paragraphs>0</Paragraphs>
  <TotalTime>23</TotalTime>
  <ScaleCrop>false</ScaleCrop>
  <LinksUpToDate>false</LinksUpToDate>
  <CharactersWithSpaces>1637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2023-07-07T07:35:00Z</dcterms:created>
  <dc:creator>WPS_1598091899</dc:creator>
  <cp:lastModifiedBy>三水</cp:lastModifiedBy>
  <dcterms:modified xsi:type="dcterms:W3CDTF">2023-07-12T03:27:22Z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D844DF70ADD943678058156784ED0BDD_11</vt:lpwstr>
  </property>
</Properties>
</file>