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p>
    <w:p>
      <w:pPr>
        <w:pStyle w:val="3"/>
        <w:jc w:val="center"/>
      </w:pPr>
    </w:p>
    <w:p>
      <w:pPr>
        <w:pStyle w:val="3"/>
        <w:jc w:val="center"/>
        <w:rPr>
          <w:rStyle w:val="13"/>
          <w:rFonts w:cs="Arial"/>
          <w:b w:val="0"/>
          <w:bCs w:val="0"/>
          <w:color w:val="000000"/>
          <w:sz w:val="28"/>
          <w:szCs w:val="28"/>
        </w:rPr>
      </w:pPr>
      <w:r>
        <w:rPr>
          <w:rFonts w:hint="eastAsia"/>
        </w:rPr>
        <w:t>贵阳市妇幼保健院常年法律顾问咨询服务</w:t>
      </w:r>
    </w:p>
    <w:p>
      <w:pPr>
        <w:pStyle w:val="3"/>
        <w:jc w:val="center"/>
      </w:pPr>
      <w:r>
        <w:rPr>
          <w:rFonts w:hint="eastAsia"/>
        </w:rPr>
        <w:t>比选文件</w:t>
      </w:r>
    </w:p>
    <w:p/>
    <w:p/>
    <w:p/>
    <w:p/>
    <w:p/>
    <w:p/>
    <w:p/>
    <w:p/>
    <w:p/>
    <w:p/>
    <w:p/>
    <w:p/>
    <w:p/>
    <w:p/>
    <w:p/>
    <w:p/>
    <w:p/>
    <w:p/>
    <w:p>
      <w:pPr>
        <w:jc w:val="center"/>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采购人：贵阳市妇幼保健院</w:t>
      </w:r>
    </w:p>
    <w:p>
      <w:pPr>
        <w:pStyle w:val="5"/>
        <w:spacing w:line="420" w:lineRule="exact"/>
        <w:jc w:val="center"/>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2023年11月</w:t>
      </w:r>
    </w:p>
    <w:p>
      <w:pPr>
        <w:rPr>
          <w:sz w:val="28"/>
          <w:szCs w:val="28"/>
        </w:rPr>
      </w:pPr>
    </w:p>
    <w:p>
      <w:pPr>
        <w:rPr>
          <w:sz w:val="28"/>
          <w:szCs w:val="28"/>
        </w:rPr>
      </w:pPr>
    </w:p>
    <w:p>
      <w:pPr>
        <w:rPr>
          <w:sz w:val="28"/>
          <w:szCs w:val="28"/>
        </w:rPr>
      </w:pPr>
    </w:p>
    <w:p>
      <w:pPr>
        <w:rPr>
          <w:sz w:val="28"/>
          <w:szCs w:val="28"/>
        </w:rPr>
        <w:sectPr>
          <w:footerReference r:id="rId3" w:type="default"/>
          <w:footerReference r:id="rId4" w:type="even"/>
          <w:pgSz w:w="11900" w:h="16840"/>
          <w:pgMar w:top="930" w:right="1519" w:bottom="930" w:left="1519" w:header="851" w:footer="992" w:gutter="0"/>
          <w:cols w:space="425" w:num="1"/>
          <w:docGrid w:type="lines" w:linePitch="312" w:charSpace="0"/>
        </w:sectPr>
      </w:pPr>
    </w:p>
    <w:p>
      <w:pPr>
        <w:spacing w:beforeLines="50" w:afterLines="50" w:line="360" w:lineRule="auto"/>
        <w:ind w:firstLine="482" w:firstLineChars="200"/>
        <w:rPr>
          <w:rFonts w:ascii="宋体" w:hAnsi="宋体" w:eastAsia="宋体"/>
          <w:b/>
          <w:bCs/>
          <w:sz w:val="24"/>
        </w:rPr>
      </w:pPr>
      <w:r>
        <w:rPr>
          <w:rFonts w:ascii="宋体" w:hAnsi="宋体" w:eastAsia="宋体"/>
          <w:b/>
          <w:bCs/>
          <w:sz w:val="24"/>
        </w:rPr>
        <w:t>一、项目名称</w:t>
      </w:r>
    </w:p>
    <w:p>
      <w:pPr>
        <w:spacing w:beforeLines="50" w:afterLines="50" w:line="360" w:lineRule="auto"/>
        <w:ind w:firstLine="480" w:firstLineChars="200"/>
        <w:rPr>
          <w:rFonts w:ascii="宋体" w:hAnsi="宋体" w:eastAsia="宋体"/>
          <w:b/>
          <w:bCs/>
          <w:sz w:val="24"/>
        </w:rPr>
      </w:pPr>
      <w:r>
        <w:rPr>
          <w:rFonts w:ascii="宋体" w:hAnsi="宋体" w:eastAsia="宋体"/>
          <w:bCs/>
          <w:sz w:val="24"/>
        </w:rPr>
        <w:t>贵阳市妇幼保健院常年法律顾问咨询服务</w:t>
      </w:r>
    </w:p>
    <w:p>
      <w:pPr>
        <w:spacing w:beforeLines="50" w:afterLines="50" w:line="360" w:lineRule="auto"/>
        <w:ind w:firstLine="482" w:firstLineChars="200"/>
        <w:rPr>
          <w:rFonts w:ascii="宋体" w:hAnsi="宋体" w:eastAsia="宋体"/>
          <w:b/>
          <w:bCs/>
          <w:sz w:val="24"/>
        </w:rPr>
      </w:pPr>
      <w:r>
        <w:rPr>
          <w:rFonts w:ascii="宋体" w:hAnsi="宋体" w:eastAsia="宋体"/>
          <w:b/>
          <w:bCs/>
          <w:sz w:val="24"/>
        </w:rPr>
        <w:t>二、比选项目内容</w:t>
      </w:r>
    </w:p>
    <w:p>
      <w:pPr>
        <w:spacing w:beforeLines="50" w:afterLines="50" w:line="360" w:lineRule="auto"/>
        <w:ind w:firstLine="480" w:firstLineChars="200"/>
        <w:rPr>
          <w:rFonts w:ascii="宋体" w:hAnsi="宋体" w:eastAsia="宋体"/>
          <w:bCs/>
          <w:color w:val="auto"/>
          <w:sz w:val="24"/>
        </w:rPr>
      </w:pPr>
      <w:r>
        <w:rPr>
          <w:rFonts w:ascii="宋体" w:hAnsi="宋体" w:eastAsia="宋体"/>
          <w:bCs/>
          <w:sz w:val="24"/>
        </w:rPr>
        <w:t>1</w:t>
      </w:r>
      <w:r>
        <w:rPr>
          <w:rFonts w:hint="eastAsia" w:ascii="宋体" w:hAnsi="宋体" w:eastAsia="宋体"/>
          <w:bCs/>
          <w:sz w:val="24"/>
        </w:rPr>
        <w:t>、</w:t>
      </w:r>
      <w:r>
        <w:rPr>
          <w:rFonts w:ascii="宋体" w:hAnsi="宋体" w:eastAsia="宋体"/>
          <w:bCs/>
          <w:sz w:val="24"/>
        </w:rPr>
        <w:t>服务</w:t>
      </w:r>
      <w:r>
        <w:rPr>
          <w:rFonts w:ascii="宋体" w:hAnsi="宋体" w:eastAsia="宋体"/>
          <w:bCs/>
          <w:color w:val="auto"/>
          <w:sz w:val="24"/>
        </w:rPr>
        <w:t>期限：</w:t>
      </w:r>
      <w:r>
        <w:rPr>
          <w:rFonts w:hint="eastAsia" w:ascii="宋体" w:hAnsi="宋体" w:eastAsia="宋体"/>
          <w:bCs/>
          <w:color w:val="auto"/>
          <w:sz w:val="24"/>
          <w:lang w:val="en-US" w:eastAsia="zh-CN"/>
        </w:rPr>
        <w:t>一</w:t>
      </w:r>
      <w:r>
        <w:rPr>
          <w:rFonts w:ascii="宋体" w:hAnsi="宋体" w:eastAsia="宋体"/>
          <w:bCs/>
          <w:color w:val="auto"/>
          <w:sz w:val="24"/>
        </w:rPr>
        <w:t>年。</w:t>
      </w:r>
    </w:p>
    <w:p>
      <w:pPr>
        <w:spacing w:beforeLines="50" w:afterLines="50" w:line="360" w:lineRule="auto"/>
        <w:ind w:firstLine="480" w:firstLineChars="200"/>
        <w:rPr>
          <w:rFonts w:hint="eastAsia" w:ascii="宋体" w:hAnsi="宋体" w:eastAsia="宋体"/>
          <w:bCs/>
          <w:sz w:val="24"/>
          <w:lang w:eastAsia="zh-CN"/>
        </w:rPr>
      </w:pPr>
      <w:r>
        <w:rPr>
          <w:rFonts w:ascii="宋体" w:hAnsi="宋体" w:eastAsia="宋体"/>
          <w:bCs/>
          <w:sz w:val="24"/>
        </w:rPr>
        <w:t>2</w:t>
      </w:r>
      <w:r>
        <w:rPr>
          <w:rFonts w:hint="eastAsia" w:ascii="宋体" w:hAnsi="宋体" w:eastAsia="宋体"/>
          <w:bCs/>
          <w:sz w:val="24"/>
        </w:rPr>
        <w:t>、服务范</w:t>
      </w:r>
      <w:r>
        <w:rPr>
          <w:rFonts w:ascii="宋体" w:hAnsi="宋体" w:eastAsia="宋体"/>
          <w:bCs/>
          <w:sz w:val="24"/>
        </w:rPr>
        <w:t>围：</w:t>
      </w:r>
      <w:r>
        <w:rPr>
          <w:rFonts w:hint="eastAsia" w:ascii="宋体" w:hAnsi="宋体" w:eastAsia="宋体"/>
          <w:bCs/>
          <w:sz w:val="24"/>
        </w:rPr>
        <w:t>协助</w:t>
      </w:r>
      <w:r>
        <w:rPr>
          <w:rFonts w:hint="eastAsia" w:ascii="宋体" w:hAnsi="宋体" w:eastAsia="宋体"/>
          <w:bCs/>
          <w:sz w:val="24"/>
          <w:lang w:val="en-US" w:eastAsia="zh-CN"/>
        </w:rPr>
        <w:t>决</w:t>
      </w:r>
      <w:r>
        <w:rPr>
          <w:rFonts w:hint="eastAsia" w:ascii="宋体" w:hAnsi="宋体" w:eastAsia="宋体"/>
          <w:bCs/>
          <w:sz w:val="24"/>
        </w:rPr>
        <w:t>策、法律咨询、合同审改、协助谈判、法律培训、法律建议及其他日常事务的法律咨询</w:t>
      </w:r>
      <w:r>
        <w:rPr>
          <w:rFonts w:hint="eastAsia" w:ascii="宋体" w:hAnsi="宋体" w:eastAsia="宋体"/>
          <w:bCs/>
          <w:sz w:val="24"/>
          <w:lang w:eastAsia="zh-CN"/>
        </w:rPr>
        <w:t>。</w:t>
      </w:r>
    </w:p>
    <w:p>
      <w:pPr>
        <w:spacing w:beforeLines="50" w:afterLines="50"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3、项目预算：</w:t>
      </w:r>
      <w:r>
        <w:rPr>
          <w:rFonts w:hint="eastAsia" w:ascii="宋体" w:hAnsi="宋体" w:eastAsia="宋体"/>
          <w:sz w:val="24"/>
          <w:lang w:val="en-US" w:eastAsia="zh-CN"/>
        </w:rPr>
        <w:t>不超过</w:t>
      </w:r>
      <w:r>
        <w:rPr>
          <w:rFonts w:hint="eastAsia" w:ascii="宋体" w:hAnsi="宋体" w:eastAsia="宋体"/>
          <w:sz w:val="24"/>
        </w:rPr>
        <w:t>6</w:t>
      </w:r>
      <w:r>
        <w:rPr>
          <w:rFonts w:ascii="宋体" w:hAnsi="宋体" w:eastAsia="宋体"/>
          <w:sz w:val="24"/>
        </w:rPr>
        <w:t>0000元/年。</w:t>
      </w:r>
    </w:p>
    <w:p>
      <w:pPr>
        <w:spacing w:beforeLines="50" w:afterLines="50" w:line="360" w:lineRule="auto"/>
        <w:ind w:firstLine="482" w:firstLineChars="200"/>
        <w:rPr>
          <w:rFonts w:ascii="宋体" w:hAnsi="宋体" w:eastAsia="宋体"/>
          <w:sz w:val="24"/>
        </w:rPr>
      </w:pPr>
      <w:r>
        <w:rPr>
          <w:rFonts w:ascii="宋体" w:hAnsi="宋体" w:eastAsia="宋体"/>
          <w:b/>
          <w:bCs/>
          <w:sz w:val="24"/>
        </w:rPr>
        <w:t>三、报名资格要求</w:t>
      </w:r>
    </w:p>
    <w:p>
      <w:pPr>
        <w:widowControl/>
        <w:shd w:val="clear" w:color="auto" w:fill="FFFFFF"/>
        <w:spacing w:line="360" w:lineRule="auto"/>
        <w:ind w:firstLine="480" w:firstLineChars="200"/>
        <w:jc w:val="left"/>
        <w:rPr>
          <w:rFonts w:hint="eastAsia" w:ascii="宋体" w:hAnsi="宋体" w:eastAsia="宋体"/>
          <w:b/>
          <w:bCs/>
          <w:sz w:val="24"/>
        </w:rPr>
      </w:pPr>
      <w:r>
        <w:rPr>
          <w:rFonts w:ascii="宋体" w:hAnsi="宋体" w:eastAsia="宋体"/>
          <w:sz w:val="24"/>
        </w:rPr>
        <w:t>1、</w:t>
      </w:r>
      <w:r>
        <w:rPr>
          <w:rFonts w:hint="eastAsia" w:ascii="宋体" w:hAnsi="宋体" w:eastAsia="宋体"/>
          <w:sz w:val="24"/>
        </w:rPr>
        <w:t>具有独立法人资格；</w:t>
      </w:r>
      <w:r>
        <w:rPr>
          <w:rFonts w:hint="eastAsia" w:ascii="宋体" w:hAnsi="宋体" w:eastAsia="宋体"/>
          <w:b/>
          <w:bCs/>
          <w:sz w:val="24"/>
          <w:lang w:val="en-US" w:eastAsia="zh-CN"/>
        </w:rPr>
        <w:t xml:space="preserve">（提供有效加载统一社会信用代码的营业执照副本复印件或扫描件加盖响应人公章) </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具有良好的商业信誉和健全的财务会计制度；</w:t>
      </w:r>
      <w:r>
        <w:rPr>
          <w:rFonts w:hint="eastAsia" w:ascii="宋体" w:hAnsi="宋体" w:eastAsia="宋体"/>
          <w:b/>
          <w:bCs/>
          <w:sz w:val="24"/>
          <w:lang w:val="en-US" w:eastAsia="zh-CN"/>
        </w:rPr>
        <w:t>提供财务状况报告材料（2022年度财务状况报告或开户银行出具的2023年度资信证明）</w:t>
      </w:r>
    </w:p>
    <w:p>
      <w:pPr>
        <w:spacing w:line="360" w:lineRule="auto"/>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具有履行合同所必需的设备和专业技术能力；</w:t>
      </w:r>
      <w:r>
        <w:rPr>
          <w:rFonts w:hint="eastAsia" w:ascii="宋体" w:hAnsi="宋体" w:eastAsia="宋体"/>
          <w:b/>
          <w:bCs/>
          <w:sz w:val="24"/>
          <w:lang w:val="en-US" w:eastAsia="zh-CN"/>
        </w:rPr>
        <w:t>（响应人自行承诺，格式自拟）</w:t>
      </w:r>
    </w:p>
    <w:p>
      <w:pPr>
        <w:spacing w:line="360" w:lineRule="auto"/>
        <w:ind w:firstLine="480" w:firstLineChars="200"/>
        <w:rPr>
          <w:rFonts w:hint="eastAsia" w:ascii="宋体" w:hAnsi="宋体" w:eastAsia="宋体"/>
          <w:b/>
          <w:bCs/>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有依法缴纳税收和社会保障资金的良好记录；</w:t>
      </w:r>
      <w:r>
        <w:rPr>
          <w:rFonts w:hint="eastAsia" w:ascii="宋体" w:hAnsi="宋体" w:eastAsia="宋体"/>
          <w:b/>
          <w:bCs/>
          <w:sz w:val="24"/>
          <w:lang w:val="en-US" w:eastAsia="zh-CN"/>
        </w:rPr>
        <w:t>（提供2023年1月至响应文件递交截止时间前任意一个月缴纳税收和社会保障资金凭证等相关资料复印件或扫描件加盖响应人公章）</w:t>
      </w:r>
    </w:p>
    <w:p>
      <w:pPr>
        <w:spacing w:beforeLines="50" w:afterLines="50" w:line="360" w:lineRule="auto"/>
        <w:ind w:firstLine="480" w:firstLineChars="200"/>
        <w:rPr>
          <w:rFonts w:hint="eastAsia" w:ascii="宋体" w:hAnsi="宋体" w:eastAsia="宋体"/>
          <w:sz w:val="24"/>
        </w:rPr>
      </w:pPr>
      <w:r>
        <w:rPr>
          <w:rFonts w:hint="eastAsia" w:ascii="宋体" w:hAnsi="宋体" w:eastAsia="宋体"/>
          <w:sz w:val="24"/>
        </w:rPr>
        <w:t>5</w:t>
      </w:r>
      <w:r>
        <w:rPr>
          <w:rFonts w:hint="eastAsia" w:ascii="宋体" w:hAnsi="宋体" w:eastAsia="宋体"/>
          <w:sz w:val="24"/>
          <w:lang w:eastAsia="zh-CN"/>
        </w:rPr>
        <w:t>、</w:t>
      </w:r>
      <w:r>
        <w:rPr>
          <w:rFonts w:hint="eastAsia" w:ascii="宋体" w:hAnsi="宋体" w:eastAsia="宋体"/>
          <w:sz w:val="24"/>
        </w:rPr>
        <w:t>参加采购活动前三年内，在经营活动中没有重大违法记录；</w:t>
      </w:r>
      <w:r>
        <w:rPr>
          <w:rFonts w:hint="eastAsia" w:ascii="宋体" w:hAnsi="宋体" w:eastAsia="宋体"/>
          <w:b/>
          <w:bCs/>
          <w:sz w:val="24"/>
          <w:lang w:val="en-US" w:eastAsia="zh-CN"/>
        </w:rPr>
        <w:t>（响应人自行承诺，格式自拟）</w:t>
      </w:r>
    </w:p>
    <w:p>
      <w:pPr>
        <w:widowControl/>
        <w:shd w:val="clear" w:color="auto" w:fill="FFFFFF"/>
        <w:spacing w:line="360" w:lineRule="auto"/>
        <w:ind w:firstLine="480" w:firstLineChars="200"/>
        <w:jc w:val="left"/>
        <w:rPr>
          <w:rFonts w:hint="eastAsia" w:ascii="宋体" w:hAnsi="宋体" w:eastAsia="宋体"/>
          <w:sz w:val="24"/>
        </w:rPr>
      </w:pPr>
      <w:r>
        <w:rPr>
          <w:rFonts w:hint="eastAsia" w:ascii="宋体" w:hAnsi="宋体" w:eastAsia="宋体"/>
          <w:sz w:val="24"/>
        </w:rPr>
        <w:t>6</w:t>
      </w:r>
      <w:r>
        <w:rPr>
          <w:rFonts w:hint="eastAsia" w:ascii="宋体" w:hAnsi="宋体" w:eastAsia="宋体"/>
          <w:sz w:val="24"/>
          <w:lang w:eastAsia="zh-CN"/>
        </w:rPr>
        <w:t>、</w:t>
      </w:r>
      <w:r>
        <w:rPr>
          <w:rFonts w:hint="eastAsia" w:ascii="宋体" w:hAnsi="宋体" w:eastAsia="宋体"/>
          <w:sz w:val="24"/>
        </w:rPr>
        <w:t>具有有效的律师事务所执业许可证；</w:t>
      </w:r>
      <w:r>
        <w:rPr>
          <w:rFonts w:hint="eastAsia" w:ascii="宋体" w:hAnsi="宋体" w:eastAsia="宋体"/>
          <w:b/>
          <w:bCs/>
          <w:sz w:val="24"/>
          <w:lang w:val="en-US" w:eastAsia="zh-CN"/>
        </w:rPr>
        <w:t xml:space="preserve">（提供复印件或扫描件加盖公章) </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7、应未被列入“信用中国”网站中的(www.creditchina.gov.cn）、“中国政府采购网”网站（www.ccgp.gov.cn）失信被执行人、重大税收违法案件当事人名单、政府采购严重违法失信行为记录名单，否则其投标将被拒绝；</w:t>
      </w:r>
      <w:r>
        <w:rPr>
          <w:rFonts w:hint="eastAsia" w:ascii="宋体" w:hAnsi="宋体" w:eastAsia="宋体"/>
          <w:b/>
          <w:bCs/>
          <w:sz w:val="24"/>
          <w:lang w:val="en-US" w:eastAsia="zh-CN"/>
        </w:rPr>
        <w:t>（响应人自行承诺，格式自拟）</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7、近三年内没有违反职业道德和违法执业行为</w:t>
      </w:r>
      <w:r>
        <w:rPr>
          <w:rFonts w:hint="eastAsia" w:ascii="宋体" w:hAnsi="宋体" w:eastAsia="宋体"/>
          <w:b/>
          <w:bCs/>
          <w:sz w:val="24"/>
          <w:lang w:val="en-US" w:eastAsia="zh-CN"/>
        </w:rPr>
        <w:t>（提供书面承诺）</w:t>
      </w:r>
      <w:r>
        <w:rPr>
          <w:rFonts w:hint="eastAsia" w:ascii="宋体" w:hAnsi="宋体" w:eastAsia="宋体"/>
          <w:sz w:val="24"/>
          <w:lang w:val="en-US" w:eastAsia="zh-CN"/>
        </w:rPr>
        <w:t>；</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9、单位负责人为同一人或存在控股、管理关系的不同响应人不得同时参与本项目磋商，否则其投标均作无效投标处理；</w:t>
      </w:r>
      <w:r>
        <w:rPr>
          <w:rFonts w:hint="eastAsia" w:ascii="宋体" w:hAnsi="宋体" w:eastAsia="宋体"/>
          <w:b/>
          <w:bCs/>
          <w:sz w:val="24"/>
          <w:lang w:val="en-US" w:eastAsia="zh-CN"/>
        </w:rPr>
        <w:t>（响应人自行承诺，格式自拟）</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10、本次招标不接受以联合体形式投标。</w:t>
      </w:r>
    </w:p>
    <w:p>
      <w:pPr>
        <w:spacing w:beforeLines="50" w:afterLines="50" w:line="360" w:lineRule="auto"/>
        <w:ind w:firstLine="482" w:firstLineChars="200"/>
        <w:rPr>
          <w:rFonts w:hint="default" w:ascii="宋体" w:hAnsi="宋体" w:eastAsia="宋体"/>
          <w:sz w:val="24"/>
          <w:lang w:val="en-US"/>
        </w:rPr>
      </w:pPr>
      <w:r>
        <w:rPr>
          <w:rFonts w:ascii="宋体" w:hAnsi="宋体" w:eastAsia="宋体"/>
          <w:b/>
          <w:bCs/>
          <w:sz w:val="24"/>
        </w:rPr>
        <w:t>四、</w:t>
      </w:r>
      <w:r>
        <w:rPr>
          <w:rFonts w:hint="eastAsia" w:ascii="宋体" w:hAnsi="宋体" w:eastAsia="宋体"/>
          <w:b/>
          <w:bCs/>
          <w:sz w:val="24"/>
          <w:lang w:val="en-US" w:eastAsia="zh-CN"/>
        </w:rPr>
        <w:t>服务内容</w:t>
      </w:r>
    </w:p>
    <w:p>
      <w:pPr>
        <w:spacing w:beforeLines="50" w:afterLines="50" w:line="360" w:lineRule="auto"/>
        <w:ind w:firstLine="480" w:firstLineChars="200"/>
        <w:rPr>
          <w:rFonts w:hint="eastAsia" w:ascii="宋体" w:hAnsi="宋体" w:eastAsia="宋体"/>
          <w:bCs/>
          <w:sz w:val="24"/>
          <w:lang w:eastAsia="zh-CN"/>
        </w:rPr>
      </w:pPr>
      <w:r>
        <w:rPr>
          <w:rFonts w:hint="eastAsia" w:ascii="宋体" w:hAnsi="宋体" w:eastAsia="宋体"/>
          <w:sz w:val="24"/>
        </w:rPr>
        <w:t>1、</w:t>
      </w:r>
      <w:r>
        <w:rPr>
          <w:rFonts w:hint="eastAsia" w:ascii="宋体" w:hAnsi="宋体" w:eastAsia="宋体"/>
          <w:bCs/>
          <w:sz w:val="24"/>
        </w:rPr>
        <w:t>协助</w:t>
      </w:r>
      <w:r>
        <w:rPr>
          <w:rFonts w:hint="eastAsia" w:ascii="宋体" w:hAnsi="宋体" w:eastAsia="宋体"/>
          <w:bCs/>
          <w:sz w:val="24"/>
          <w:lang w:val="en-US" w:eastAsia="zh-CN"/>
        </w:rPr>
        <w:t>决</w:t>
      </w:r>
      <w:r>
        <w:rPr>
          <w:rFonts w:hint="eastAsia" w:ascii="宋体" w:hAnsi="宋体" w:eastAsia="宋体"/>
          <w:bCs/>
          <w:sz w:val="24"/>
        </w:rPr>
        <w:t>策、法律咨询、合同审改、协助谈判、法律培训、法律建议及其他日常事务的法律咨询</w:t>
      </w:r>
      <w:r>
        <w:rPr>
          <w:rFonts w:hint="eastAsia" w:ascii="宋体" w:hAnsi="宋体" w:eastAsia="宋体"/>
          <w:bCs/>
          <w:sz w:val="24"/>
          <w:lang w:eastAsia="zh-CN"/>
        </w:rPr>
        <w:t>。</w:t>
      </w:r>
    </w:p>
    <w:p>
      <w:pPr>
        <w:spacing w:beforeLines="50" w:afterLines="50" w:line="360" w:lineRule="auto"/>
        <w:ind w:firstLine="480" w:firstLineChars="200"/>
        <w:rPr>
          <w:rFonts w:hint="default"/>
          <w:lang w:val="en-US" w:eastAsia="zh-CN"/>
        </w:rPr>
      </w:pPr>
      <w:r>
        <w:rPr>
          <w:rFonts w:hint="eastAsia" w:ascii="宋体" w:hAnsi="宋体" w:eastAsia="宋体"/>
          <w:bCs/>
          <w:sz w:val="24"/>
          <w:lang w:val="en-US" w:eastAsia="zh-CN"/>
        </w:rPr>
        <w:t>2、</w:t>
      </w:r>
      <w:r>
        <w:rPr>
          <w:rFonts w:hint="eastAsia" w:ascii="宋体" w:hAnsi="宋体" w:eastAsia="宋体"/>
          <w:bCs/>
          <w:sz w:val="24"/>
        </w:rPr>
        <w:t>针对医院采购项目招投标文件、合同拟定、协议签订以及合作协议（有经济往来）、诉讼代理等提供法律咨询服务</w:t>
      </w:r>
      <w:r>
        <w:rPr>
          <w:rFonts w:ascii="宋体" w:hAnsi="宋体" w:eastAsia="宋体"/>
          <w:bCs/>
          <w:sz w:val="24"/>
        </w:rPr>
        <w:t>。</w:t>
      </w:r>
    </w:p>
    <w:p>
      <w:pPr>
        <w:spacing w:beforeLines="50" w:afterLines="50" w:line="360" w:lineRule="auto"/>
        <w:ind w:firstLine="480" w:firstLineChars="200"/>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为医院日常合作事项的合法性提供书面或口头法律咨询，依法提供建议或出具法律咨询意见。</w:t>
      </w:r>
    </w:p>
    <w:p>
      <w:pPr>
        <w:spacing w:beforeLines="50" w:afterLines="50"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、医院经营管理中涉及的招标采购、合作共建、外送第三方等方面的采购合同和合作协议进行审核、法律风险分析评估。</w:t>
      </w:r>
    </w:p>
    <w:p>
      <w:pPr>
        <w:spacing w:beforeLines="50" w:afterLines="50" w:line="360" w:lineRule="auto"/>
        <w:ind w:firstLine="480" w:firstLineChars="200"/>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、对医院现有相关采购事宜的进展状况提供法律风险分析、合理化建议等。</w:t>
      </w:r>
    </w:p>
    <w:p>
      <w:pPr>
        <w:spacing w:beforeLines="50" w:afterLines="50" w:line="360" w:lineRule="auto"/>
        <w:ind w:firstLine="482" w:firstLineChars="200"/>
        <w:rPr>
          <w:rFonts w:ascii="宋体" w:hAnsi="宋体" w:eastAsia="宋体"/>
          <w:b/>
          <w:sz w:val="24"/>
        </w:rPr>
      </w:pPr>
      <w:r>
        <w:rPr>
          <w:rFonts w:ascii="宋体" w:hAnsi="宋体" w:eastAsia="宋体"/>
          <w:b/>
          <w:sz w:val="24"/>
        </w:rPr>
        <w:t>五、</w:t>
      </w:r>
      <w:r>
        <w:rPr>
          <w:rFonts w:hint="eastAsia" w:ascii="宋体" w:hAnsi="宋体" w:eastAsia="宋体"/>
          <w:b/>
          <w:sz w:val="24"/>
          <w:lang w:val="en-US" w:eastAsia="zh-CN"/>
        </w:rPr>
        <w:t>响应</w:t>
      </w:r>
      <w:r>
        <w:rPr>
          <w:rFonts w:ascii="宋体" w:hAnsi="宋体" w:eastAsia="宋体"/>
          <w:b/>
          <w:sz w:val="24"/>
        </w:rPr>
        <w:t>文件提交要求</w:t>
      </w:r>
    </w:p>
    <w:p>
      <w:pPr>
        <w:spacing w:beforeLines="50" w:afterLines="50"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w:t>
      </w:r>
      <w:r>
        <w:rPr>
          <w:rFonts w:hint="eastAsia" w:ascii="宋体" w:hAnsi="宋体" w:eastAsia="宋体"/>
          <w:sz w:val="24"/>
          <w:lang w:val="en-US" w:eastAsia="zh-CN"/>
        </w:rPr>
        <w:t>响应</w:t>
      </w:r>
      <w:r>
        <w:rPr>
          <w:rFonts w:ascii="宋体" w:hAnsi="宋体" w:eastAsia="宋体"/>
          <w:sz w:val="24"/>
        </w:rPr>
        <w:t>文件</w:t>
      </w:r>
      <w:r>
        <w:rPr>
          <w:rFonts w:hint="eastAsia" w:ascii="宋体" w:hAnsi="宋体" w:eastAsia="宋体"/>
          <w:sz w:val="24"/>
          <w:lang w:val="en-US" w:eastAsia="zh-CN"/>
        </w:rPr>
        <w:t>三</w:t>
      </w:r>
      <w:r>
        <w:rPr>
          <w:rFonts w:ascii="宋体" w:hAnsi="宋体" w:eastAsia="宋体"/>
          <w:sz w:val="24"/>
        </w:rPr>
        <w:t>份</w:t>
      </w:r>
      <w:r>
        <w:rPr>
          <w:rFonts w:hint="eastAsia" w:ascii="宋体" w:hAnsi="宋体" w:eastAsia="宋体"/>
          <w:sz w:val="24"/>
          <w:lang w:eastAsia="zh-CN"/>
        </w:rPr>
        <w:t>，</w:t>
      </w:r>
      <w:r>
        <w:rPr>
          <w:rFonts w:hint="eastAsia" w:ascii="宋体" w:hAnsi="宋体" w:eastAsia="宋体"/>
          <w:sz w:val="24"/>
          <w:lang w:val="en-US" w:eastAsia="zh-CN"/>
        </w:rPr>
        <w:t>一正两副</w:t>
      </w:r>
      <w:r>
        <w:rPr>
          <w:rFonts w:ascii="宋体" w:hAnsi="宋体" w:eastAsia="宋体"/>
          <w:sz w:val="24"/>
        </w:rPr>
        <w:t>，应装订成册，</w:t>
      </w:r>
      <w:r>
        <w:rPr>
          <w:rFonts w:hint="eastAsia" w:ascii="宋体" w:hAnsi="宋体" w:eastAsia="宋体"/>
          <w:sz w:val="24"/>
          <w:lang w:val="en-US" w:eastAsia="zh-CN"/>
        </w:rPr>
        <w:t>正本</w:t>
      </w:r>
      <w:r>
        <w:rPr>
          <w:rFonts w:ascii="宋体" w:hAnsi="宋体" w:eastAsia="宋体"/>
          <w:sz w:val="24"/>
        </w:rPr>
        <w:t>密封提交，封口处加盖公章。</w:t>
      </w:r>
    </w:p>
    <w:p>
      <w:pPr>
        <w:spacing w:beforeLines="50" w:afterLines="5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w:t>
      </w:r>
      <w:r>
        <w:rPr>
          <w:rFonts w:hint="eastAsia" w:ascii="宋体" w:hAnsi="宋体" w:eastAsia="宋体"/>
          <w:sz w:val="24"/>
          <w:lang w:val="en-US" w:eastAsia="zh-CN"/>
        </w:rPr>
        <w:t>响应</w:t>
      </w:r>
      <w:r>
        <w:rPr>
          <w:rFonts w:ascii="宋体" w:hAnsi="宋体" w:eastAsia="宋体"/>
          <w:sz w:val="24"/>
        </w:rPr>
        <w:t>文件包括但不限于以下内容：</w:t>
      </w:r>
    </w:p>
    <w:p>
      <w:pPr>
        <w:spacing w:beforeLines="50" w:afterLines="50" w:line="360" w:lineRule="auto"/>
        <w:ind w:firstLine="480" w:firstLineChars="200"/>
        <w:rPr>
          <w:rFonts w:ascii="宋体" w:hAnsi="宋体" w:eastAsia="宋体"/>
          <w:sz w:val="24"/>
        </w:rPr>
      </w:pPr>
      <w:r>
        <w:rPr>
          <w:rFonts w:ascii="宋体" w:hAnsi="宋体" w:eastAsia="宋体"/>
          <w:sz w:val="24"/>
        </w:rPr>
        <w:t>（1）报价函；</w:t>
      </w:r>
    </w:p>
    <w:p>
      <w:pPr>
        <w:spacing w:beforeLines="50" w:afterLines="5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lang w:val="en-US" w:eastAsia="zh-CN"/>
        </w:rPr>
        <w:t>资格证明文件</w:t>
      </w:r>
      <w:r>
        <w:rPr>
          <w:rFonts w:ascii="宋体" w:hAnsi="宋体" w:eastAsia="宋体"/>
          <w:sz w:val="24"/>
        </w:rPr>
        <w:t>；</w:t>
      </w:r>
    </w:p>
    <w:p>
      <w:pPr>
        <w:spacing w:beforeLines="50" w:afterLines="50" w:line="360" w:lineRule="auto"/>
        <w:ind w:firstLine="480" w:firstLineChars="200"/>
        <w:rPr>
          <w:rFonts w:ascii="宋体" w:hAnsi="宋体" w:eastAsia="宋体"/>
          <w:sz w:val="24"/>
        </w:rPr>
      </w:pPr>
      <w:r>
        <w:rPr>
          <w:rFonts w:ascii="宋体" w:hAnsi="宋体" w:eastAsia="宋体"/>
          <w:sz w:val="24"/>
        </w:rPr>
        <w:t>（3）服务方案；</w:t>
      </w:r>
    </w:p>
    <w:p>
      <w:pPr>
        <w:spacing w:beforeLines="50" w:afterLines="50" w:line="360" w:lineRule="auto"/>
        <w:ind w:firstLine="480" w:firstLineChars="200"/>
        <w:rPr>
          <w:rFonts w:ascii="宋体" w:hAnsi="宋体" w:eastAsia="宋体"/>
          <w:sz w:val="24"/>
        </w:rPr>
      </w:pPr>
      <w:r>
        <w:rPr>
          <w:rFonts w:ascii="宋体" w:hAnsi="宋体" w:eastAsia="宋体"/>
          <w:sz w:val="24"/>
        </w:rPr>
        <w:t>（4）近三年内没有违反职业道德和违法执业行为的承诺函。</w:t>
      </w:r>
    </w:p>
    <w:p>
      <w:pPr>
        <w:spacing w:beforeLines="50" w:afterLines="50" w:line="360" w:lineRule="auto"/>
        <w:ind w:firstLine="482" w:firstLineChars="200"/>
        <w:rPr>
          <w:rFonts w:ascii="宋体" w:hAnsi="宋体" w:eastAsia="宋体"/>
          <w:b/>
          <w:sz w:val="24"/>
        </w:rPr>
      </w:pPr>
      <w:r>
        <w:rPr>
          <w:rFonts w:hint="eastAsia" w:ascii="宋体" w:hAnsi="宋体" w:eastAsia="宋体"/>
          <w:b/>
          <w:sz w:val="24"/>
          <w:lang w:val="en-US" w:eastAsia="zh-CN"/>
        </w:rPr>
        <w:t>六</w:t>
      </w:r>
      <w:r>
        <w:rPr>
          <w:rFonts w:ascii="宋体" w:hAnsi="宋体" w:eastAsia="宋体"/>
          <w:b/>
          <w:sz w:val="24"/>
        </w:rPr>
        <w:t>、比选评分标准</w:t>
      </w:r>
    </w:p>
    <w:p>
      <w:pPr>
        <w:spacing w:beforeLines="50" w:afterLines="50" w:line="360" w:lineRule="auto"/>
        <w:ind w:firstLine="480" w:firstLineChars="200"/>
        <w:rPr>
          <w:rFonts w:hint="eastAsia" w:ascii="宋体" w:hAnsi="宋体" w:eastAsia="宋体"/>
          <w:sz w:val="24"/>
        </w:rPr>
      </w:pPr>
      <w:r>
        <w:rPr>
          <w:rFonts w:ascii="宋体" w:hAnsi="宋体" w:eastAsia="宋体"/>
          <w:sz w:val="24"/>
        </w:rPr>
        <w:t>本次比选采用综合评分法，按评分由高到低选择服务机构，评分标准如下：</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914"/>
        <w:gridCol w:w="76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0" w:type="dxa"/>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序号</w:t>
            </w:r>
          </w:p>
        </w:tc>
        <w:tc>
          <w:tcPr>
            <w:tcW w:w="2679" w:type="dxa"/>
            <w:gridSpan w:val="2"/>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评审项目</w:t>
            </w:r>
          </w:p>
        </w:tc>
        <w:tc>
          <w:tcPr>
            <w:tcW w:w="5595" w:type="dxa"/>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sz w:val="24"/>
              </w:rPr>
            </w:pPr>
            <w:r>
              <w:rPr>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24"/>
                <w:lang w:val="en-US" w:eastAsia="zh-CN"/>
              </w:rPr>
            </w:pPr>
            <w:r>
              <w:rPr>
                <w:rFonts w:hint="eastAsia"/>
                <w:sz w:val="24"/>
                <w:lang w:val="en-US" w:eastAsia="zh-CN"/>
              </w:rPr>
              <w:t>1</w:t>
            </w:r>
          </w:p>
        </w:tc>
        <w:tc>
          <w:tcPr>
            <w:tcW w:w="8274"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价格评分（</w:t>
            </w:r>
            <w:r>
              <w:rPr>
                <w:rFonts w:hint="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eastAsiaTheme="minorEastAsia"/>
                <w:sz w:val="24"/>
                <w:lang w:val="en-US" w:eastAsia="zh-CN"/>
              </w:rPr>
            </w:pPr>
            <w:r>
              <w:rPr>
                <w:rFonts w:hint="eastAsia"/>
                <w:sz w:val="24"/>
              </w:rPr>
              <w:t>1</w:t>
            </w:r>
            <w:r>
              <w:rPr>
                <w:rFonts w:hint="eastAsia"/>
                <w:sz w:val="24"/>
                <w:lang w:val="en-US" w:eastAsia="zh-CN"/>
              </w:rPr>
              <w:t>.1</w:t>
            </w:r>
          </w:p>
        </w:tc>
        <w:tc>
          <w:tcPr>
            <w:tcW w:w="19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投标报价评分</w:t>
            </w:r>
          </w:p>
        </w:tc>
        <w:tc>
          <w:tcPr>
            <w:tcW w:w="7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10分</w:t>
            </w:r>
          </w:p>
        </w:tc>
        <w:tc>
          <w:tcPr>
            <w:tcW w:w="559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磋商报价得分=（磋商基准价/磋商报价）×10</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注：1.磋商基准价指实质性响应文件且报价最低的磋商报价；</w:t>
            </w:r>
          </w:p>
          <w:p>
            <w:pPr>
              <w:keepNext w:val="0"/>
              <w:keepLines w:val="0"/>
              <w:pageBreakBefore w:val="0"/>
              <w:kinsoku/>
              <w:wordWrap/>
              <w:overflowPunct/>
              <w:topLinePunct w:val="0"/>
              <w:autoSpaceDE/>
              <w:autoSpaceDN/>
              <w:bidi w:val="0"/>
              <w:adjustRightInd/>
              <w:snapToGrid/>
              <w:spacing w:line="440" w:lineRule="exact"/>
              <w:textAlignment w:val="auto"/>
            </w:pPr>
            <w:bookmarkStart w:id="0" w:name="_GoBack"/>
            <w:bookmarkEnd w:id="0"/>
            <w:r>
              <w:rPr>
                <w:rFonts w:hint="eastAsia"/>
                <w:sz w:val="24"/>
              </w:rPr>
              <w:t xml:space="preserve">2.经评审不合格的响应文件的磋商报价，不进入价格分计算。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24"/>
                <w:lang w:val="en-US" w:eastAsia="zh-CN"/>
              </w:rPr>
            </w:pPr>
            <w:r>
              <w:rPr>
                <w:rFonts w:hint="eastAsia"/>
                <w:sz w:val="24"/>
                <w:lang w:val="en-US" w:eastAsia="zh-CN"/>
              </w:rPr>
              <w:t>2</w:t>
            </w:r>
          </w:p>
        </w:tc>
        <w:tc>
          <w:tcPr>
            <w:tcW w:w="8274"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技术评审评分（</w:t>
            </w:r>
            <w:r>
              <w:rPr>
                <w:rFonts w:hint="eastAsia"/>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eastAsiaTheme="minorEastAsia"/>
                <w:sz w:val="24"/>
                <w:lang w:val="en-US" w:eastAsia="zh-CN"/>
              </w:rPr>
            </w:pPr>
            <w:r>
              <w:rPr>
                <w:rFonts w:hint="eastAsia"/>
                <w:sz w:val="24"/>
              </w:rPr>
              <w:t>2</w:t>
            </w:r>
            <w:r>
              <w:rPr>
                <w:rFonts w:hint="eastAsia"/>
                <w:sz w:val="24"/>
                <w:lang w:val="en-US" w:eastAsia="zh-CN"/>
              </w:rPr>
              <w:t>.1</w:t>
            </w:r>
          </w:p>
        </w:tc>
        <w:tc>
          <w:tcPr>
            <w:tcW w:w="19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常年法律顾问服务方案</w:t>
            </w:r>
          </w:p>
        </w:tc>
        <w:tc>
          <w:tcPr>
            <w:tcW w:w="7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30分</w:t>
            </w:r>
          </w:p>
        </w:tc>
        <w:tc>
          <w:tcPr>
            <w:tcW w:w="5595" w:type="dxa"/>
          </w:tcPr>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sz w:val="24"/>
              </w:rPr>
            </w:pPr>
            <w:r>
              <w:rPr>
                <w:rFonts w:hint="eastAsia"/>
                <w:sz w:val="24"/>
              </w:rPr>
              <w:t>服务方案针对性强、服务内容能涵盖服务对象的需求并能提出解决方式方法、服务方案完整详细、阶段性工作时间安排合理、服务内容主次分明、服务方式屡有创新性的。全部符合得20-30分。</w:t>
            </w:r>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sz w:val="24"/>
              </w:rPr>
            </w:pPr>
            <w:r>
              <w:rPr>
                <w:rFonts w:hint="eastAsia"/>
                <w:sz w:val="24"/>
              </w:rPr>
              <w:t>服务方案比较完整详细、阶段性工作时间安排比较合理、服务内容较为主次分明且针对性较强、服务方式偶有创新性的得10-19分。</w:t>
            </w:r>
          </w:p>
          <w:p>
            <w:pPr>
              <w:keepNext w:val="0"/>
              <w:keepLines w:val="0"/>
              <w:pageBreakBefore w:val="0"/>
              <w:kinsoku/>
              <w:wordWrap/>
              <w:overflowPunct/>
              <w:topLinePunct w:val="0"/>
              <w:autoSpaceDE/>
              <w:autoSpaceDN/>
              <w:bidi w:val="0"/>
              <w:adjustRightInd/>
              <w:snapToGrid/>
              <w:spacing w:line="440" w:lineRule="exact"/>
              <w:textAlignment w:val="auto"/>
              <w:rPr>
                <w:sz w:val="24"/>
              </w:rPr>
            </w:pPr>
            <w:r>
              <w:rPr>
                <w:rFonts w:hint="eastAsia"/>
                <w:sz w:val="24"/>
              </w:rPr>
              <w:t xml:space="preserve">  服务方案散乱、阶段性工作时间安排混乱、服务内容主次模糊且无针对性、服务方案创新性一般的得0-9分。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24"/>
                <w:lang w:val="en-US" w:eastAsia="zh-CN"/>
              </w:rPr>
            </w:pPr>
            <w:r>
              <w:rPr>
                <w:rFonts w:hint="eastAsia"/>
                <w:sz w:val="24"/>
                <w:lang w:val="en-US" w:eastAsia="zh-CN"/>
              </w:rPr>
              <w:t>3</w:t>
            </w:r>
          </w:p>
        </w:tc>
        <w:tc>
          <w:tcPr>
            <w:tcW w:w="8274"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商务评审评分（</w:t>
            </w:r>
            <w:r>
              <w:rPr>
                <w:rFonts w:hint="eastAsia"/>
                <w:sz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3.1</w:t>
            </w:r>
          </w:p>
        </w:tc>
        <w:tc>
          <w:tcPr>
            <w:tcW w:w="19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团队负责人</w:t>
            </w:r>
          </w:p>
        </w:tc>
        <w:tc>
          <w:tcPr>
            <w:tcW w:w="7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24"/>
                <w:lang w:val="en-US" w:eastAsia="zh-CN"/>
              </w:rPr>
            </w:pPr>
            <w:r>
              <w:rPr>
                <w:rFonts w:hint="eastAsia"/>
                <w:sz w:val="24"/>
              </w:rPr>
              <w:t>35</w:t>
            </w:r>
            <w:r>
              <w:rPr>
                <w:rFonts w:hint="eastAsia"/>
                <w:sz w:val="24"/>
                <w:lang w:val="en-US" w:eastAsia="zh-CN"/>
              </w:rPr>
              <w:t>分</w:t>
            </w:r>
          </w:p>
        </w:tc>
        <w:tc>
          <w:tcPr>
            <w:tcW w:w="5595" w:type="dxa"/>
          </w:tcPr>
          <w:p>
            <w:pPr>
              <w:pStyle w:val="22"/>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sz w:val="24"/>
              </w:rPr>
            </w:pPr>
            <w:r>
              <w:rPr>
                <w:rFonts w:hint="eastAsia"/>
                <w:sz w:val="24"/>
              </w:rPr>
              <w:t>项目负责人为具有执业时间超过10年的专职律师得3分。每少一年扣一分，扣完为止。（提供执业证</w:t>
            </w:r>
            <w:r>
              <w:rPr>
                <w:rFonts w:hint="eastAsia"/>
                <w:sz w:val="24"/>
                <w:lang w:val="en-US" w:eastAsia="zh-CN"/>
              </w:rPr>
              <w:t>或</w:t>
            </w:r>
            <w:r>
              <w:rPr>
                <w:rFonts w:hint="eastAsia"/>
                <w:sz w:val="24"/>
              </w:rPr>
              <w:t>其他证明文件审核）；</w:t>
            </w:r>
          </w:p>
          <w:p>
            <w:pPr>
              <w:pStyle w:val="22"/>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sz w:val="24"/>
              </w:rPr>
            </w:pPr>
            <w:r>
              <w:rPr>
                <w:rFonts w:hint="eastAsia"/>
                <w:sz w:val="24"/>
              </w:rPr>
              <w:t>项目负责人办案经验丰富，代理诉讼案件超过</w:t>
            </w:r>
            <w:r>
              <w:rPr>
                <w:rFonts w:hint="eastAsia"/>
                <w:sz w:val="24"/>
                <w:lang w:val="en-US" w:eastAsia="zh-CN"/>
              </w:rPr>
              <w:t>4</w:t>
            </w:r>
            <w:r>
              <w:rPr>
                <w:rFonts w:hint="eastAsia"/>
                <w:sz w:val="24"/>
              </w:rPr>
              <w:t>00件</w:t>
            </w:r>
            <w:r>
              <w:rPr>
                <w:rFonts w:hint="eastAsia"/>
                <w:sz w:val="24"/>
                <w:lang w:val="en-US" w:eastAsia="zh-CN"/>
              </w:rPr>
              <w:t>及以上</w:t>
            </w:r>
            <w:r>
              <w:rPr>
                <w:rFonts w:hint="eastAsia"/>
                <w:sz w:val="24"/>
              </w:rPr>
              <w:t>得5分。</w:t>
            </w:r>
            <w:r>
              <w:rPr>
                <w:rFonts w:hint="eastAsia"/>
                <w:sz w:val="24"/>
                <w:lang w:eastAsia="zh-CN"/>
              </w:rPr>
              <w:t>（</w:t>
            </w:r>
            <w:r>
              <w:rPr>
                <w:rFonts w:hint="eastAsia"/>
                <w:sz w:val="24"/>
                <w:lang w:val="en-US" w:eastAsia="zh-CN"/>
              </w:rPr>
              <w:t>100件以下不得分，101件至200件得1分，201件至399件得3分，以Alpha大数据报告查询为准）</w:t>
            </w:r>
          </w:p>
          <w:p>
            <w:pPr>
              <w:pStyle w:val="22"/>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sz w:val="24"/>
              </w:rPr>
            </w:pPr>
            <w:r>
              <w:rPr>
                <w:rFonts w:hint="eastAsia"/>
                <w:sz w:val="24"/>
              </w:rPr>
              <w:t>项目负责人有深厚的法律基础，有一定的社会认可度、曾经或现在是高校法学类专业的任课老师或受聘</w:t>
            </w:r>
            <w:r>
              <w:rPr>
                <w:rFonts w:hint="eastAsia"/>
                <w:sz w:val="24"/>
                <w:lang w:val="en-US" w:eastAsia="zh-CN"/>
              </w:rPr>
              <w:t>教</w:t>
            </w:r>
            <w:r>
              <w:rPr>
                <w:rFonts w:hint="eastAsia"/>
                <w:sz w:val="24"/>
              </w:rPr>
              <w:t>师得8分。（其中，在律师行业得到认可</w:t>
            </w:r>
            <w:r>
              <w:rPr>
                <w:rFonts w:hint="eastAsia"/>
                <w:sz w:val="24"/>
                <w:lang w:val="en-US" w:eastAsia="zh-CN"/>
              </w:rPr>
              <w:t>并</w:t>
            </w:r>
            <w:r>
              <w:rPr>
                <w:rFonts w:hint="eastAsia"/>
                <w:sz w:val="24"/>
              </w:rPr>
              <w:t>担任相关职务得5</w:t>
            </w:r>
            <w:r>
              <w:rPr>
                <w:rFonts w:hint="eastAsia"/>
                <w:sz w:val="24"/>
                <w:lang w:val="en-US" w:eastAsia="zh-CN"/>
              </w:rPr>
              <w:t>分</w:t>
            </w:r>
            <w:r>
              <w:rPr>
                <w:rFonts w:hint="eastAsia"/>
                <w:sz w:val="24"/>
              </w:rPr>
              <w:t>，担任</w:t>
            </w:r>
            <w:r>
              <w:rPr>
                <w:rFonts w:hint="eastAsia"/>
                <w:sz w:val="24"/>
                <w:lang w:val="en-US" w:eastAsia="zh-CN"/>
              </w:rPr>
              <w:t>教</w:t>
            </w:r>
            <w:r>
              <w:rPr>
                <w:rFonts w:hint="eastAsia"/>
                <w:sz w:val="24"/>
              </w:rPr>
              <w:t>师或</w:t>
            </w:r>
            <w:r>
              <w:rPr>
                <w:rFonts w:hint="eastAsia"/>
                <w:sz w:val="24"/>
                <w:lang w:val="en-US" w:eastAsia="zh-CN"/>
              </w:rPr>
              <w:t>教授</w:t>
            </w:r>
            <w:r>
              <w:rPr>
                <w:rFonts w:hint="eastAsia"/>
                <w:sz w:val="24"/>
              </w:rPr>
              <w:t>得3分）</w:t>
            </w:r>
          </w:p>
          <w:p>
            <w:pPr>
              <w:keepNext w:val="0"/>
              <w:keepLines w:val="0"/>
              <w:pageBreakBefore w:val="0"/>
              <w:kinsoku/>
              <w:wordWrap/>
              <w:overflowPunct/>
              <w:topLinePunct w:val="0"/>
              <w:autoSpaceDE/>
              <w:autoSpaceDN/>
              <w:bidi w:val="0"/>
              <w:adjustRightInd/>
              <w:snapToGrid/>
              <w:spacing w:line="440" w:lineRule="exact"/>
              <w:ind w:left="360" w:hanging="360" w:hangingChars="150"/>
              <w:textAlignment w:val="auto"/>
              <w:rPr>
                <w:sz w:val="24"/>
              </w:rPr>
            </w:pPr>
            <w:r>
              <w:rPr>
                <w:rFonts w:hint="eastAsia"/>
                <w:sz w:val="24"/>
              </w:rPr>
              <w:t>4、项目负责人对医疗纠纷类案件有一定的认识和经验，曾代理过医院的案件，且办理案件的思路及判决结果得到服务单位的认可得</w:t>
            </w:r>
            <w:r>
              <w:rPr>
                <w:rFonts w:hint="eastAsia"/>
                <w:sz w:val="24"/>
                <w:lang w:val="en-US" w:eastAsia="zh-CN"/>
              </w:rPr>
              <w:t>5</w:t>
            </w:r>
            <w:r>
              <w:rPr>
                <w:rFonts w:hint="eastAsia"/>
                <w:sz w:val="24"/>
              </w:rPr>
              <w:t>分。</w:t>
            </w:r>
          </w:p>
          <w:p>
            <w:pPr>
              <w:keepNext w:val="0"/>
              <w:keepLines w:val="0"/>
              <w:pageBreakBefore w:val="0"/>
              <w:kinsoku/>
              <w:wordWrap/>
              <w:overflowPunct/>
              <w:topLinePunct w:val="0"/>
              <w:autoSpaceDE/>
              <w:autoSpaceDN/>
              <w:bidi w:val="0"/>
              <w:adjustRightInd/>
              <w:snapToGrid/>
              <w:spacing w:line="440" w:lineRule="exact"/>
              <w:ind w:left="240" w:hanging="240" w:hangingChars="100"/>
              <w:textAlignment w:val="auto"/>
              <w:rPr>
                <w:sz w:val="24"/>
              </w:rPr>
            </w:pPr>
            <w:r>
              <w:rPr>
                <w:rFonts w:hint="eastAsia"/>
                <w:sz w:val="24"/>
              </w:rPr>
              <w:t>5、项目负责人热衷公益事业，经常参与政府及各部门组织的公益普法宣传活动并在电视、报刊等媒体的法制类节目中现身说法，向社会进行普法宣传，有一定社会知名度得</w:t>
            </w:r>
            <w:r>
              <w:rPr>
                <w:rFonts w:hint="default"/>
                <w:sz w:val="24"/>
              </w:rPr>
              <w:t>3</w:t>
            </w:r>
            <w:r>
              <w:rPr>
                <w:rFonts w:hint="eastAsia"/>
                <w:sz w:val="24"/>
              </w:rPr>
              <w:t>分。</w:t>
            </w:r>
          </w:p>
          <w:p>
            <w:pPr>
              <w:keepNext w:val="0"/>
              <w:keepLines w:val="0"/>
              <w:pageBreakBefore w:val="0"/>
              <w:kinsoku/>
              <w:wordWrap/>
              <w:overflowPunct/>
              <w:topLinePunct w:val="0"/>
              <w:autoSpaceDE/>
              <w:autoSpaceDN/>
              <w:bidi w:val="0"/>
              <w:adjustRightInd/>
              <w:snapToGrid/>
              <w:spacing w:line="440" w:lineRule="exact"/>
              <w:ind w:left="240" w:hanging="240" w:hangingChars="100"/>
              <w:textAlignment w:val="auto"/>
              <w:rPr>
                <w:sz w:val="24"/>
              </w:rPr>
            </w:pPr>
            <w:r>
              <w:rPr>
                <w:rFonts w:hint="eastAsia"/>
                <w:sz w:val="24"/>
              </w:rPr>
              <w:t>6、项目负责人有良好的媒体资源，和各电视台、新闻媒体单位一直保持互动关系，能帮助其服务企业进行正</w:t>
            </w:r>
            <w:r>
              <w:rPr>
                <w:rFonts w:hint="eastAsia"/>
                <w:sz w:val="24"/>
                <w:lang w:val="en-US" w:eastAsia="zh-CN"/>
              </w:rPr>
              <w:t>面</w:t>
            </w:r>
            <w:r>
              <w:rPr>
                <w:rFonts w:hint="eastAsia"/>
                <w:sz w:val="24"/>
              </w:rPr>
              <w:t>宣传、平息服务企业负面社会舆论的得</w:t>
            </w:r>
            <w:r>
              <w:rPr>
                <w:rFonts w:hint="eastAsia"/>
                <w:sz w:val="24"/>
                <w:lang w:val="en-US" w:eastAsia="zh-CN"/>
              </w:rPr>
              <w:t>3</w:t>
            </w:r>
            <w:r>
              <w:rPr>
                <w:rFonts w:hint="eastAsia"/>
                <w:sz w:val="24"/>
              </w:rPr>
              <w:t>分。</w:t>
            </w:r>
          </w:p>
          <w:p>
            <w:pPr>
              <w:keepNext w:val="0"/>
              <w:keepLines w:val="0"/>
              <w:pageBreakBefore w:val="0"/>
              <w:kinsoku/>
              <w:wordWrap/>
              <w:overflowPunct/>
              <w:topLinePunct w:val="0"/>
              <w:autoSpaceDE/>
              <w:autoSpaceDN/>
              <w:bidi w:val="0"/>
              <w:adjustRightInd/>
              <w:snapToGrid/>
              <w:spacing w:line="440" w:lineRule="exact"/>
              <w:ind w:left="120" w:hanging="120" w:hangingChars="50"/>
              <w:textAlignment w:val="auto"/>
              <w:rPr>
                <w:sz w:val="24"/>
              </w:rPr>
            </w:pPr>
            <w:r>
              <w:rPr>
                <w:rFonts w:hint="eastAsia"/>
                <w:sz w:val="24"/>
              </w:rPr>
              <w:t>7、项目负责人形象气质良好，有亲和力、善于沟通、善于通过调解方式解决纠纷</w:t>
            </w:r>
            <w:r>
              <w:rPr>
                <w:rFonts w:hint="eastAsia"/>
                <w:sz w:val="24"/>
                <w:lang w:val="en-US" w:eastAsia="zh-CN"/>
              </w:rPr>
              <w:t>得3分；</w:t>
            </w:r>
            <w:r>
              <w:rPr>
                <w:rFonts w:hint="eastAsia"/>
                <w:sz w:val="24"/>
              </w:rPr>
              <w:t>有</w:t>
            </w:r>
            <w:r>
              <w:rPr>
                <w:rFonts w:hint="eastAsia"/>
                <w:sz w:val="24"/>
                <w:lang w:val="en-US" w:eastAsia="zh-CN"/>
              </w:rPr>
              <w:t>丰富</w:t>
            </w:r>
            <w:r>
              <w:rPr>
                <w:rFonts w:hint="eastAsia"/>
                <w:sz w:val="24"/>
              </w:rPr>
              <w:t>的调解经验，担任过调解员或</w:t>
            </w:r>
            <w:r>
              <w:rPr>
                <w:rFonts w:hint="eastAsia"/>
                <w:sz w:val="24"/>
                <w:lang w:val="en-US" w:eastAsia="zh-CN"/>
              </w:rPr>
              <w:t>受聘为</w:t>
            </w:r>
            <w:r>
              <w:rPr>
                <w:rFonts w:hint="eastAsia"/>
                <w:sz w:val="24"/>
              </w:rPr>
              <w:t>仲裁员的得</w:t>
            </w:r>
            <w:r>
              <w:rPr>
                <w:rFonts w:hint="eastAsia"/>
                <w:sz w:val="24"/>
                <w:lang w:val="en-US" w:eastAsia="zh-CN"/>
              </w:rPr>
              <w:t>5</w:t>
            </w:r>
            <w:r>
              <w:rPr>
                <w:rFonts w:hint="eastAsia"/>
                <w:sz w:val="24"/>
              </w:rPr>
              <w:t>分</w:t>
            </w:r>
            <w:r>
              <w:rPr>
                <w:rFonts w:hint="eastAsia"/>
                <w:sz w:val="24"/>
                <w:lang w:eastAsia="zh-CN"/>
              </w:rPr>
              <w:t>。</w:t>
            </w:r>
            <w:r>
              <w:rPr>
                <w:rFonts w:hint="eastAsia"/>
                <w:sz w:val="24"/>
                <w:lang w:val="en-US" w:eastAsia="zh-CN"/>
              </w:rPr>
              <w:t>两项合计共8分。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3.2</w:t>
            </w:r>
          </w:p>
        </w:tc>
        <w:tc>
          <w:tcPr>
            <w:tcW w:w="19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团队成员</w:t>
            </w:r>
          </w:p>
        </w:tc>
        <w:tc>
          <w:tcPr>
            <w:tcW w:w="7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20分</w:t>
            </w:r>
          </w:p>
        </w:tc>
        <w:tc>
          <w:tcPr>
            <w:tcW w:w="5595" w:type="dxa"/>
          </w:tcPr>
          <w:p>
            <w:pPr>
              <w:pStyle w:val="22"/>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sz w:val="24"/>
              </w:rPr>
            </w:pPr>
            <w:r>
              <w:rPr>
                <w:rFonts w:hint="eastAsia"/>
                <w:sz w:val="24"/>
              </w:rPr>
              <w:t>医疗服务团队人员（专职律师）</w:t>
            </w:r>
            <w:r>
              <w:rPr>
                <w:rFonts w:hint="eastAsia"/>
                <w:sz w:val="24"/>
                <w:lang w:val="en-US" w:eastAsia="zh-CN"/>
              </w:rPr>
              <w:t>不少于8人</w:t>
            </w:r>
            <w:r>
              <w:rPr>
                <w:rFonts w:hint="eastAsia"/>
                <w:sz w:val="24"/>
              </w:rPr>
              <w:t>得6分，每少一人扣一分（执业证复印件审核）；</w:t>
            </w:r>
          </w:p>
          <w:p>
            <w:pPr>
              <w:pStyle w:val="22"/>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sz w:val="24"/>
              </w:rPr>
            </w:pPr>
            <w:r>
              <w:rPr>
                <w:sz w:val="24"/>
              </w:rPr>
              <w:t>医疗服务团队中有曾在贵州省法院系统工作时间超过</w:t>
            </w:r>
            <w:r>
              <w:rPr>
                <w:rFonts w:hint="eastAsia"/>
                <w:sz w:val="24"/>
              </w:rPr>
              <w:t>10年的高级法官转型的律师，能与法院、公、检及司法鉴定系统有效沟通，可以及时处理服务企业发生的临时事件并能妥善解决的得6分。</w:t>
            </w:r>
          </w:p>
          <w:p>
            <w:pPr>
              <w:pStyle w:val="22"/>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sz w:val="24"/>
              </w:rPr>
            </w:pPr>
            <w:r>
              <w:rPr>
                <w:sz w:val="24"/>
              </w:rPr>
              <w:t>服务团队中有代理过医院医疗纠纷</w:t>
            </w:r>
            <w:r>
              <w:rPr>
                <w:rFonts w:hint="eastAsia"/>
                <w:sz w:val="24"/>
              </w:rPr>
              <w:t>10件以上的律师，且案件办理质量得到服务单位的认可的得8分。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3.3</w:t>
            </w:r>
          </w:p>
        </w:tc>
        <w:tc>
          <w:tcPr>
            <w:tcW w:w="191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sz w:val="24"/>
              </w:rPr>
              <w:t>本地化服务机构</w:t>
            </w:r>
          </w:p>
        </w:tc>
        <w:tc>
          <w:tcPr>
            <w:tcW w:w="7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rPr>
            </w:pPr>
            <w:r>
              <w:rPr>
                <w:rFonts w:hint="eastAsia"/>
                <w:sz w:val="24"/>
              </w:rPr>
              <w:t>5分</w:t>
            </w:r>
          </w:p>
        </w:tc>
        <w:tc>
          <w:tcPr>
            <w:tcW w:w="5595" w:type="dxa"/>
          </w:tcPr>
          <w:p>
            <w:pPr>
              <w:keepNext w:val="0"/>
              <w:keepLines w:val="0"/>
              <w:pageBreakBefore w:val="0"/>
              <w:kinsoku/>
              <w:wordWrap/>
              <w:overflowPunct/>
              <w:topLinePunct w:val="0"/>
              <w:autoSpaceDE/>
              <w:autoSpaceDN/>
              <w:bidi w:val="0"/>
              <w:adjustRightInd/>
              <w:snapToGrid/>
              <w:spacing w:line="440" w:lineRule="exact"/>
              <w:textAlignment w:val="auto"/>
              <w:rPr>
                <w:sz w:val="24"/>
              </w:rPr>
            </w:pPr>
            <w:r>
              <w:rPr>
                <w:rFonts w:hint="eastAsia"/>
                <w:sz w:val="24"/>
              </w:rPr>
              <w:t>律所登记住所在贵阳</w:t>
            </w:r>
            <w:r>
              <w:rPr>
                <w:rFonts w:hint="eastAsia"/>
                <w:sz w:val="24"/>
                <w:lang w:val="en-US" w:eastAsia="zh-CN"/>
              </w:rPr>
              <w:t>市</w:t>
            </w:r>
            <w:r>
              <w:rPr>
                <w:rFonts w:hint="eastAsia"/>
                <w:sz w:val="24"/>
              </w:rPr>
              <w:t>得5分</w:t>
            </w:r>
          </w:p>
        </w:tc>
      </w:tr>
    </w:tbl>
    <w:p>
      <w:pPr>
        <w:widowControl/>
        <w:wordWrap w:val="0"/>
        <w:spacing w:beforeLines="50" w:afterLines="50" w:line="360" w:lineRule="auto"/>
        <w:jc w:val="both"/>
        <w:rPr>
          <w:rFonts w:ascii="宋体" w:hAnsi="宋体" w:eastAsia="宋体" w:cs="Arial"/>
          <w:color w:val="000000"/>
          <w:kern w:val="0"/>
          <w:sz w:val="28"/>
          <w:szCs w:val="28"/>
        </w:rPr>
      </w:pPr>
    </w:p>
    <w:sectPr>
      <w:footerReference r:id="rId5" w:type="default"/>
      <w:pgSz w:w="11900" w:h="16840"/>
      <w:pgMar w:top="930" w:right="1406" w:bottom="930" w:left="140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center" w:y="1"/>
      <w:rPr>
        <w:rStyle w:val="1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293864167"/>
      <w:docPartObj>
        <w:docPartGallery w:val="autotext"/>
      </w:docPartObj>
    </w:sdtPr>
    <w:sdtEndPr>
      <w:rPr>
        <w:rStyle w:val="14"/>
      </w:rPr>
    </w:sdtEndPr>
    <w:sdtContent>
      <w:p>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4</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123C9"/>
    <w:multiLevelType w:val="multilevel"/>
    <w:tmpl w:val="015123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C61B3B"/>
    <w:multiLevelType w:val="multilevel"/>
    <w:tmpl w:val="35C61B3B"/>
    <w:lvl w:ilvl="0" w:tentative="0">
      <w:start w:val="1"/>
      <w:numFmt w:val="decimal"/>
      <w:lvlText w:val="%1、"/>
      <w:lvlJc w:val="left"/>
      <w:pPr>
        <w:ind w:left="50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1E3D93"/>
    <w:rsid w:val="00007785"/>
    <w:rsid w:val="000366CF"/>
    <w:rsid w:val="0004041B"/>
    <w:rsid w:val="00044CA0"/>
    <w:rsid w:val="00060891"/>
    <w:rsid w:val="00084E1C"/>
    <w:rsid w:val="00090D8D"/>
    <w:rsid w:val="00096E87"/>
    <w:rsid w:val="000A4E58"/>
    <w:rsid w:val="000C471C"/>
    <w:rsid w:val="000D2818"/>
    <w:rsid w:val="000E1046"/>
    <w:rsid w:val="0011365C"/>
    <w:rsid w:val="001148C5"/>
    <w:rsid w:val="00127958"/>
    <w:rsid w:val="00127C5B"/>
    <w:rsid w:val="00135116"/>
    <w:rsid w:val="00154801"/>
    <w:rsid w:val="0016734C"/>
    <w:rsid w:val="00167BD3"/>
    <w:rsid w:val="001756EC"/>
    <w:rsid w:val="001909BA"/>
    <w:rsid w:val="00197D58"/>
    <w:rsid w:val="001B2044"/>
    <w:rsid w:val="001C15F8"/>
    <w:rsid w:val="001C64BF"/>
    <w:rsid w:val="001D2A91"/>
    <w:rsid w:val="001E3D93"/>
    <w:rsid w:val="001F082C"/>
    <w:rsid w:val="00220434"/>
    <w:rsid w:val="00227E6F"/>
    <w:rsid w:val="00241C1E"/>
    <w:rsid w:val="00254A5C"/>
    <w:rsid w:val="0029499E"/>
    <w:rsid w:val="002979DD"/>
    <w:rsid w:val="002B05C3"/>
    <w:rsid w:val="002E104E"/>
    <w:rsid w:val="00312323"/>
    <w:rsid w:val="00344825"/>
    <w:rsid w:val="0035291C"/>
    <w:rsid w:val="0037079B"/>
    <w:rsid w:val="003808E2"/>
    <w:rsid w:val="00386BFC"/>
    <w:rsid w:val="00396066"/>
    <w:rsid w:val="003A088A"/>
    <w:rsid w:val="003A1EFC"/>
    <w:rsid w:val="003A25D3"/>
    <w:rsid w:val="003A33E4"/>
    <w:rsid w:val="003C6900"/>
    <w:rsid w:val="003D0A91"/>
    <w:rsid w:val="003D2D19"/>
    <w:rsid w:val="003F322D"/>
    <w:rsid w:val="003F6111"/>
    <w:rsid w:val="00401B86"/>
    <w:rsid w:val="0041241A"/>
    <w:rsid w:val="00421D35"/>
    <w:rsid w:val="004313D6"/>
    <w:rsid w:val="0043440F"/>
    <w:rsid w:val="00470A12"/>
    <w:rsid w:val="00476BFD"/>
    <w:rsid w:val="004963B8"/>
    <w:rsid w:val="0049720F"/>
    <w:rsid w:val="004A2295"/>
    <w:rsid w:val="004C6C0B"/>
    <w:rsid w:val="004F4AD9"/>
    <w:rsid w:val="004F5EA7"/>
    <w:rsid w:val="00554D46"/>
    <w:rsid w:val="0056162A"/>
    <w:rsid w:val="005831EB"/>
    <w:rsid w:val="0058787E"/>
    <w:rsid w:val="00596545"/>
    <w:rsid w:val="005A6D5C"/>
    <w:rsid w:val="005B73C8"/>
    <w:rsid w:val="005C1F90"/>
    <w:rsid w:val="005C4755"/>
    <w:rsid w:val="005C70D4"/>
    <w:rsid w:val="005D0296"/>
    <w:rsid w:val="005F5EBB"/>
    <w:rsid w:val="0063121A"/>
    <w:rsid w:val="006315B5"/>
    <w:rsid w:val="006401A0"/>
    <w:rsid w:val="00641E90"/>
    <w:rsid w:val="00661D12"/>
    <w:rsid w:val="00663558"/>
    <w:rsid w:val="0066745F"/>
    <w:rsid w:val="00671FC6"/>
    <w:rsid w:val="0067407B"/>
    <w:rsid w:val="00687326"/>
    <w:rsid w:val="006877E1"/>
    <w:rsid w:val="006C5AA6"/>
    <w:rsid w:val="006C6CD3"/>
    <w:rsid w:val="006D0950"/>
    <w:rsid w:val="006D697B"/>
    <w:rsid w:val="006E38ED"/>
    <w:rsid w:val="00702128"/>
    <w:rsid w:val="00723CDF"/>
    <w:rsid w:val="0075471E"/>
    <w:rsid w:val="00766ED8"/>
    <w:rsid w:val="00772465"/>
    <w:rsid w:val="0077574D"/>
    <w:rsid w:val="007928AD"/>
    <w:rsid w:val="007B10F9"/>
    <w:rsid w:val="007C491F"/>
    <w:rsid w:val="007C6E74"/>
    <w:rsid w:val="007D1432"/>
    <w:rsid w:val="007E43FD"/>
    <w:rsid w:val="007F2728"/>
    <w:rsid w:val="007F31A2"/>
    <w:rsid w:val="007F4737"/>
    <w:rsid w:val="007F5618"/>
    <w:rsid w:val="008144B7"/>
    <w:rsid w:val="00824D80"/>
    <w:rsid w:val="00857580"/>
    <w:rsid w:val="00866E21"/>
    <w:rsid w:val="00867892"/>
    <w:rsid w:val="00880E29"/>
    <w:rsid w:val="008A2269"/>
    <w:rsid w:val="008B1FCF"/>
    <w:rsid w:val="008B584F"/>
    <w:rsid w:val="008D75DB"/>
    <w:rsid w:val="008E0C51"/>
    <w:rsid w:val="008F7BC1"/>
    <w:rsid w:val="009133E4"/>
    <w:rsid w:val="00916F4B"/>
    <w:rsid w:val="0092516B"/>
    <w:rsid w:val="00927E12"/>
    <w:rsid w:val="00931560"/>
    <w:rsid w:val="00953658"/>
    <w:rsid w:val="00983C4A"/>
    <w:rsid w:val="00985F39"/>
    <w:rsid w:val="009873FA"/>
    <w:rsid w:val="009B58D8"/>
    <w:rsid w:val="009E042F"/>
    <w:rsid w:val="009E13AA"/>
    <w:rsid w:val="009F2735"/>
    <w:rsid w:val="009F6697"/>
    <w:rsid w:val="00A110F6"/>
    <w:rsid w:val="00A1710B"/>
    <w:rsid w:val="00A27166"/>
    <w:rsid w:val="00A3190F"/>
    <w:rsid w:val="00A31AA1"/>
    <w:rsid w:val="00A34728"/>
    <w:rsid w:val="00A3668D"/>
    <w:rsid w:val="00A50FE3"/>
    <w:rsid w:val="00A61004"/>
    <w:rsid w:val="00A628C4"/>
    <w:rsid w:val="00A661F3"/>
    <w:rsid w:val="00A7533D"/>
    <w:rsid w:val="00A82D77"/>
    <w:rsid w:val="00A91AC8"/>
    <w:rsid w:val="00AA25A5"/>
    <w:rsid w:val="00AA77CC"/>
    <w:rsid w:val="00AB25F8"/>
    <w:rsid w:val="00AB3C71"/>
    <w:rsid w:val="00AC32B6"/>
    <w:rsid w:val="00AC4731"/>
    <w:rsid w:val="00AC5E42"/>
    <w:rsid w:val="00AD1ADF"/>
    <w:rsid w:val="00AD3DDB"/>
    <w:rsid w:val="00B053DC"/>
    <w:rsid w:val="00B10FE7"/>
    <w:rsid w:val="00B21B38"/>
    <w:rsid w:val="00B36109"/>
    <w:rsid w:val="00B46730"/>
    <w:rsid w:val="00B63D99"/>
    <w:rsid w:val="00BC38DA"/>
    <w:rsid w:val="00BD12D5"/>
    <w:rsid w:val="00BD4C42"/>
    <w:rsid w:val="00BF57FA"/>
    <w:rsid w:val="00C05FCB"/>
    <w:rsid w:val="00C1532B"/>
    <w:rsid w:val="00C20A62"/>
    <w:rsid w:val="00C264C6"/>
    <w:rsid w:val="00C278FA"/>
    <w:rsid w:val="00C50158"/>
    <w:rsid w:val="00C56284"/>
    <w:rsid w:val="00C80BB8"/>
    <w:rsid w:val="00C87890"/>
    <w:rsid w:val="00C90B9D"/>
    <w:rsid w:val="00C933E6"/>
    <w:rsid w:val="00CA7FD7"/>
    <w:rsid w:val="00CB5730"/>
    <w:rsid w:val="00CC2A71"/>
    <w:rsid w:val="00CE5C8E"/>
    <w:rsid w:val="00CF632C"/>
    <w:rsid w:val="00D27070"/>
    <w:rsid w:val="00D3067F"/>
    <w:rsid w:val="00D32212"/>
    <w:rsid w:val="00D53114"/>
    <w:rsid w:val="00D627EA"/>
    <w:rsid w:val="00D71583"/>
    <w:rsid w:val="00D75EEF"/>
    <w:rsid w:val="00D76853"/>
    <w:rsid w:val="00D97C3C"/>
    <w:rsid w:val="00DB5531"/>
    <w:rsid w:val="00DD0E6C"/>
    <w:rsid w:val="00DD23CB"/>
    <w:rsid w:val="00DF5E9B"/>
    <w:rsid w:val="00E130A7"/>
    <w:rsid w:val="00E21C26"/>
    <w:rsid w:val="00E36EBA"/>
    <w:rsid w:val="00E574B7"/>
    <w:rsid w:val="00E863AA"/>
    <w:rsid w:val="00E8792E"/>
    <w:rsid w:val="00E94F7B"/>
    <w:rsid w:val="00EA3469"/>
    <w:rsid w:val="00EB407B"/>
    <w:rsid w:val="00ED26F6"/>
    <w:rsid w:val="00ED70F4"/>
    <w:rsid w:val="00EE2021"/>
    <w:rsid w:val="00EE67BB"/>
    <w:rsid w:val="00F33CC2"/>
    <w:rsid w:val="00F348FA"/>
    <w:rsid w:val="00F41C75"/>
    <w:rsid w:val="00F454C6"/>
    <w:rsid w:val="00F46F19"/>
    <w:rsid w:val="00F54569"/>
    <w:rsid w:val="00F9487A"/>
    <w:rsid w:val="00F969E4"/>
    <w:rsid w:val="00FA1476"/>
    <w:rsid w:val="00FD3086"/>
    <w:rsid w:val="00FE3518"/>
    <w:rsid w:val="01A63326"/>
    <w:rsid w:val="073C1416"/>
    <w:rsid w:val="08CC0577"/>
    <w:rsid w:val="0D2C67EA"/>
    <w:rsid w:val="135075BB"/>
    <w:rsid w:val="1BE67F24"/>
    <w:rsid w:val="1C876837"/>
    <w:rsid w:val="229B41DA"/>
    <w:rsid w:val="229E1577"/>
    <w:rsid w:val="245B71B0"/>
    <w:rsid w:val="25FE192E"/>
    <w:rsid w:val="381C20D2"/>
    <w:rsid w:val="3B4402BD"/>
    <w:rsid w:val="3B9D352A"/>
    <w:rsid w:val="3BD96B69"/>
    <w:rsid w:val="3DB01C3A"/>
    <w:rsid w:val="41D91034"/>
    <w:rsid w:val="49E35145"/>
    <w:rsid w:val="4D4001B9"/>
    <w:rsid w:val="4E092CA1"/>
    <w:rsid w:val="4E235B10"/>
    <w:rsid w:val="58953BEB"/>
    <w:rsid w:val="59164523"/>
    <w:rsid w:val="5C8D13BA"/>
    <w:rsid w:val="5D8B722E"/>
    <w:rsid w:val="60F4390D"/>
    <w:rsid w:val="67627252"/>
    <w:rsid w:val="68633281"/>
    <w:rsid w:val="6FEF47A6"/>
    <w:rsid w:val="705B5186"/>
    <w:rsid w:val="70DA60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iPriority w:val="0"/>
    <w:pPr>
      <w:jc w:val="left"/>
    </w:pPr>
  </w:style>
  <w:style w:type="paragraph" w:styleId="5">
    <w:name w:val="Plain Text"/>
    <w:basedOn w:val="1"/>
    <w:link w:val="20"/>
    <w:qFormat/>
    <w:uiPriority w:val="0"/>
    <w:rPr>
      <w:rFonts w:ascii="宋体" w:hAnsi="Courier New" w:eastAsia="宋体" w:cs="Times New Roman"/>
      <w:szCs w:val="20"/>
    </w:rPr>
  </w:style>
  <w:style w:type="paragraph" w:styleId="6">
    <w:name w:val="Balloon Text"/>
    <w:basedOn w:val="1"/>
    <w:link w:val="16"/>
    <w:qFormat/>
    <w:uiPriority w:val="0"/>
    <w:rPr>
      <w:sz w:val="18"/>
      <w:szCs w:val="18"/>
    </w:rPr>
  </w:style>
  <w:style w:type="paragraph" w:styleId="7">
    <w:name w:val="footer"/>
    <w:basedOn w:val="1"/>
    <w:link w:val="23"/>
    <w:unhideWhenUsed/>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8"/>
    <w:qFormat/>
    <w:uiPriority w:val="0"/>
    <w:rPr>
      <w:b/>
      <w:bCs/>
    </w:rPr>
  </w:style>
  <w:style w:type="character" w:styleId="13">
    <w:name w:val="Strong"/>
    <w:basedOn w:val="12"/>
    <w:qFormat/>
    <w:uiPriority w:val="0"/>
    <w:rPr>
      <w:b/>
      <w:bCs/>
    </w:rPr>
  </w:style>
  <w:style w:type="character" w:styleId="14">
    <w:name w:val="page number"/>
    <w:basedOn w:val="12"/>
    <w:semiHidden/>
    <w:unhideWhenUsed/>
    <w:uiPriority w:val="99"/>
  </w:style>
  <w:style w:type="character" w:styleId="15">
    <w:name w:val="annotation reference"/>
    <w:uiPriority w:val="0"/>
    <w:rPr>
      <w:sz w:val="21"/>
      <w:szCs w:val="21"/>
    </w:rPr>
  </w:style>
  <w:style w:type="character" w:customStyle="1" w:styleId="16">
    <w:name w:val="批注框文本 Char"/>
    <w:link w:val="6"/>
    <w:uiPriority w:val="0"/>
    <w:rPr>
      <w:sz w:val="18"/>
      <w:szCs w:val="18"/>
    </w:rPr>
  </w:style>
  <w:style w:type="character" w:customStyle="1" w:styleId="17">
    <w:name w:val="批注文字 Char"/>
    <w:link w:val="4"/>
    <w:uiPriority w:val="0"/>
  </w:style>
  <w:style w:type="character" w:customStyle="1" w:styleId="18">
    <w:name w:val="批注主题 Char"/>
    <w:link w:val="10"/>
    <w:qFormat/>
    <w:uiPriority w:val="0"/>
    <w:rPr>
      <w:b/>
      <w:bCs/>
    </w:rPr>
  </w:style>
  <w:style w:type="character" w:customStyle="1" w:styleId="19">
    <w:name w:val="标题 1 Char"/>
    <w:basedOn w:val="12"/>
    <w:link w:val="3"/>
    <w:qFormat/>
    <w:uiPriority w:val="9"/>
    <w:rPr>
      <w:b/>
      <w:bCs/>
      <w:kern w:val="44"/>
      <w:sz w:val="44"/>
      <w:szCs w:val="44"/>
    </w:rPr>
  </w:style>
  <w:style w:type="character" w:customStyle="1" w:styleId="20">
    <w:name w:val="纯文本 Char"/>
    <w:basedOn w:val="12"/>
    <w:link w:val="5"/>
    <w:qFormat/>
    <w:uiPriority w:val="0"/>
    <w:rPr>
      <w:rFonts w:ascii="宋体" w:hAnsi="Courier New" w:eastAsia="宋体" w:cs="Times New Roman"/>
      <w:szCs w:val="20"/>
    </w:rPr>
  </w:style>
  <w:style w:type="character" w:customStyle="1" w:styleId="21">
    <w:name w:val="标题 2 Char"/>
    <w:basedOn w:val="12"/>
    <w:link w:val="2"/>
    <w:qFormat/>
    <w:uiPriority w:val="9"/>
    <w:rPr>
      <w:rFonts w:asciiTheme="majorHAnsi" w:hAnsiTheme="majorHAnsi" w:eastAsiaTheme="majorEastAsia" w:cstheme="majorBidi"/>
      <w:b/>
      <w:bCs/>
      <w:sz w:val="32"/>
      <w:szCs w:val="32"/>
    </w:rPr>
  </w:style>
  <w:style w:type="paragraph" w:styleId="22">
    <w:name w:val="List Paragraph"/>
    <w:basedOn w:val="1"/>
    <w:qFormat/>
    <w:uiPriority w:val="34"/>
    <w:pPr>
      <w:ind w:firstLine="420" w:firstLineChars="200"/>
    </w:pPr>
  </w:style>
  <w:style w:type="character" w:customStyle="1" w:styleId="23">
    <w:name w:val="页脚 Char"/>
    <w:basedOn w:val="12"/>
    <w:link w:val="7"/>
    <w:qFormat/>
    <w:uiPriority w:val="99"/>
    <w:rPr>
      <w:sz w:val="18"/>
      <w:szCs w:val="18"/>
    </w:rPr>
  </w:style>
  <w:style w:type="character" w:customStyle="1" w:styleId="24">
    <w:name w:val="页眉 Char"/>
    <w:basedOn w:val="12"/>
    <w:link w:val="8"/>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277</Words>
  <Characters>1583</Characters>
  <Lines>13</Lines>
  <Paragraphs>3</Paragraphs>
  <TotalTime>7</TotalTime>
  <ScaleCrop>false</ScaleCrop>
  <LinksUpToDate>false</LinksUpToDate>
  <CharactersWithSpaces>1857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2021-09-13T10:05:00Z</dcterms:created>
  <dc:creator>jiangxin</dc:creator>
  <cp:lastModifiedBy>媛yuan</cp:lastModifiedBy>
  <cp:lastPrinted>2023-11-06T03:50:00Z</cp:lastPrinted>
  <dcterms:modified xsi:type="dcterms:W3CDTF">2023-11-06T08:01:55Z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9822C6FB445548259F2502AAEBA36FF7_12</vt:lpwstr>
  </property>
</Properties>
</file>