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708" w:tblpY="805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8575"/>
        <w:gridCol w:w="1752"/>
        <w:gridCol w:w="962"/>
        <w:gridCol w:w="737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ind w:firstLine="4800" w:firstLineChars="2000"/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贵阳市妇幼保健院医疗废物条码跟踪管理系统服务采购评分办法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价格分（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0分）</w:t>
            </w:r>
          </w:p>
        </w:tc>
        <w:tc>
          <w:tcPr>
            <w:tcW w:w="2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报价最低者得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0分），由低到高依次以5分递减。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服务方案（15分）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根据投标供应商提供的服务方案进行综合打分：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整体服务方案完整、各项保障措施有力可行，各项方案合理，能够完全满足本项目需求的得15分；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整体服务方案较为完整、各项保障措施较为有力可行，各项方案较为合理，能够基本满足本项目需求的得10分；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整体服务方案完整、各项保障措施可行性一般，各项方案合理性一般，基本满足本项目需求的得5分；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整体服务方案不完整、各项保障措施可行性差，各项方案合理性差或缺项的不得分。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评分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分）</w:t>
            </w:r>
          </w:p>
        </w:tc>
        <w:tc>
          <w:tcPr>
            <w:tcW w:w="2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年以来（以签订时间为准）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贵阳市二级或以上医疗机构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合作过的业绩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,每个业绩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分，最多得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以有效期内的合同复印件为准，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未提供不得分）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投标人综合实力（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分）</w:t>
            </w:r>
          </w:p>
        </w:tc>
        <w:tc>
          <w:tcPr>
            <w:tcW w:w="2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1、投标供应商具有医废条码跟踪管理软件登记证书得 5 分；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（提供证书复印件并加盖公章）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2、投标供应商具有涉危企业视频监控管理证书得 5 分；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（提供证书复印件并加盖公章）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3、投标供应商具有双软证书得 5 分；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（提供证书复印件并加盖公章）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4、投标供应商具有ISO体系认证证书得 5 分；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（提供证书复印件并加盖公章）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需提供贵阳市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医废条码跟踪管理系统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的相关维护资料，每提供一份相关资料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eastAsia="zh-CN"/>
              </w:rPr>
              <w:t>分。以此类推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加满2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  <w:t>0分为止。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要求提供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相关资料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复印件，否则不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分。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投标公司需在本行业具有三年或以上的服务经验要求，此项得分为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要求提供同级别机构三年前的服务合同复印件，否则本项不计分。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售后服务（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分）</w:t>
            </w:r>
          </w:p>
        </w:tc>
        <w:tc>
          <w:tcPr>
            <w:tcW w:w="2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为保障售后服务质量：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投标人承诺在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贵阳市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内设有售后服务机构的得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分（出具承诺函写明办公地址和售后团队人员情况）。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（2）投标人承诺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内现场响应处理故障得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分（提供承诺函）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综合评分总分得分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100分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F57CA"/>
    <w:multiLevelType w:val="singleLevel"/>
    <w:tmpl w:val="9F6F57C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hjYWQ4YmYxOTkwZjZiZTVlMjM5ODU5ZTRkZGIifQ=="/>
  </w:docVars>
  <w:rsids>
    <w:rsidRoot w:val="00000000"/>
    <w:rsid w:val="07E87BD4"/>
    <w:rsid w:val="22E062EC"/>
    <w:rsid w:val="23F436EA"/>
    <w:rsid w:val="2819756E"/>
    <w:rsid w:val="30AA351F"/>
    <w:rsid w:val="34300A70"/>
    <w:rsid w:val="444130C7"/>
    <w:rsid w:val="4BF6795B"/>
    <w:rsid w:val="519B237A"/>
    <w:rsid w:val="544971EA"/>
    <w:rsid w:val="5AD550EB"/>
    <w:rsid w:val="5D3852FB"/>
    <w:rsid w:val="667256B3"/>
    <w:rsid w:val="6BB34A99"/>
    <w:rsid w:val="767220DE"/>
    <w:rsid w:val="7F5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numPr>
        <w:ilvl w:val="4"/>
        <w:numId w:val="1"/>
      </w:numPr>
      <w:tabs>
        <w:tab w:val="left" w:pos="0"/>
        <w:tab w:val="left" w:pos="1492"/>
      </w:tabs>
      <w:overflowPunct/>
      <w:autoSpaceDE/>
      <w:autoSpaceDN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587</Characters>
  <Lines>0</Lines>
  <Paragraphs>0</Paragraphs>
  <TotalTime>3</TotalTime>
  <ScaleCrop>false</ScaleCrop>
  <LinksUpToDate>false</LinksUpToDate>
  <CharactersWithSpaces>626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2021-09-24T01:11:00Z</dcterms:created>
  <dc:creator>jianglinjun</dc:creator>
  <cp:lastModifiedBy>媛yuan</cp:lastModifiedBy>
  <cp:lastPrinted>2022-03-02T07:39:00Z</cp:lastPrinted>
  <dcterms:modified xsi:type="dcterms:W3CDTF">2024-01-03T02:14:29Z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036BB8984FDD45B7A67BF9BCD182DC0B_13</vt:lpwstr>
  </property>
</Properties>
</file>