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30B5B" w14:textId="46EDB4B7" w:rsidR="00C869C3" w:rsidRDefault="00B208B6">
      <w:pPr>
        <w:widowControl/>
        <w:kinsoku w:val="0"/>
        <w:autoSpaceDE w:val="0"/>
        <w:autoSpaceDN w:val="0"/>
        <w:adjustRightInd w:val="0"/>
        <w:snapToGrid w:val="0"/>
        <w:spacing w:before="78" w:line="218" w:lineRule="auto"/>
        <w:ind w:left="32"/>
        <w:jc w:val="center"/>
        <w:rPr>
          <w:rFonts w:ascii="宋体" w:eastAsia="宋体" w:hAnsi="宋体" w:cs="宋体"/>
          <w:color w:val="000000"/>
          <w:spacing w:val="-1"/>
          <w:kern w:val="0"/>
          <w:sz w:val="36"/>
          <w:szCs w:val="36"/>
        </w:rPr>
      </w:pPr>
      <w:r>
        <w:rPr>
          <w:rFonts w:ascii="宋体" w:eastAsia="宋体" w:hAnsi="宋体" w:cs="宋体" w:hint="eastAsia"/>
          <w:color w:val="000000"/>
          <w:spacing w:val="-1"/>
          <w:kern w:val="0"/>
          <w:sz w:val="36"/>
          <w:szCs w:val="36"/>
        </w:rPr>
        <w:t>贵阳市妇幼保健院（市儿童医院）超长期国债</w:t>
      </w:r>
      <w:r w:rsidR="0025233D">
        <w:rPr>
          <w:rFonts w:ascii="宋体" w:eastAsia="宋体" w:hAnsi="宋体" w:cs="宋体" w:hint="eastAsia"/>
          <w:color w:val="000000"/>
          <w:spacing w:val="-1"/>
          <w:kern w:val="0"/>
          <w:sz w:val="36"/>
          <w:szCs w:val="36"/>
        </w:rPr>
        <w:t>可行性研究、决策评估及提级论证报告编制服务项目</w:t>
      </w:r>
    </w:p>
    <w:p w14:paraId="52A1E334" w14:textId="77777777" w:rsidR="00C869C3" w:rsidRDefault="0025233D">
      <w:pPr>
        <w:widowControl/>
        <w:kinsoku w:val="0"/>
        <w:autoSpaceDE w:val="0"/>
        <w:autoSpaceDN w:val="0"/>
        <w:adjustRightInd w:val="0"/>
        <w:snapToGrid w:val="0"/>
        <w:spacing w:before="78" w:line="218" w:lineRule="auto"/>
        <w:ind w:left="32"/>
        <w:jc w:val="center"/>
        <w:rPr>
          <w:rFonts w:ascii="宋体" w:eastAsia="宋体" w:hAnsi="宋体" w:cs="宋体"/>
          <w:color w:val="000000"/>
          <w:spacing w:val="-1"/>
          <w:kern w:val="0"/>
          <w:sz w:val="36"/>
          <w:szCs w:val="36"/>
        </w:rPr>
      </w:pPr>
      <w:r>
        <w:rPr>
          <w:rFonts w:ascii="宋体" w:eastAsia="宋体" w:hAnsi="宋体" w:cs="宋体" w:hint="eastAsia"/>
          <w:color w:val="000000"/>
          <w:spacing w:val="-1"/>
          <w:kern w:val="0"/>
          <w:sz w:val="36"/>
          <w:szCs w:val="36"/>
        </w:rPr>
        <w:t>采购需求</w:t>
      </w:r>
    </w:p>
    <w:p w14:paraId="1FB54145" w14:textId="77777777" w:rsidR="00C869C3" w:rsidRDefault="00C869C3">
      <w:pPr>
        <w:widowControl/>
        <w:kinsoku w:val="0"/>
        <w:autoSpaceDE w:val="0"/>
        <w:autoSpaceDN w:val="0"/>
        <w:adjustRightInd w:val="0"/>
        <w:snapToGrid w:val="0"/>
        <w:spacing w:before="78" w:line="218" w:lineRule="auto"/>
        <w:ind w:left="32"/>
        <w:jc w:val="left"/>
        <w:rPr>
          <w:rFonts w:ascii="宋体" w:eastAsia="宋体" w:hAnsi="宋体" w:cs="宋体"/>
          <w:color w:val="000000"/>
          <w:spacing w:val="-1"/>
          <w:kern w:val="0"/>
          <w:sz w:val="30"/>
          <w:szCs w:val="30"/>
        </w:rPr>
      </w:pPr>
    </w:p>
    <w:p w14:paraId="6A4B531C" w14:textId="77777777" w:rsidR="00C869C3" w:rsidRDefault="0025233D">
      <w:pPr>
        <w:widowControl/>
        <w:kinsoku w:val="0"/>
        <w:autoSpaceDE w:val="0"/>
        <w:autoSpaceDN w:val="0"/>
        <w:adjustRightInd w:val="0"/>
        <w:snapToGrid w:val="0"/>
        <w:spacing w:before="78" w:line="218" w:lineRule="auto"/>
        <w:ind w:left="32"/>
        <w:jc w:val="left"/>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1、项目名称：</w:t>
      </w:r>
    </w:p>
    <w:p w14:paraId="64EE1311" w14:textId="67116B0B" w:rsidR="00C869C3" w:rsidRDefault="00B208B6">
      <w:pPr>
        <w:widowControl/>
        <w:kinsoku w:val="0"/>
        <w:autoSpaceDE w:val="0"/>
        <w:autoSpaceDN w:val="0"/>
        <w:adjustRightInd w:val="0"/>
        <w:snapToGrid w:val="0"/>
        <w:spacing w:before="78" w:line="218" w:lineRule="auto"/>
        <w:ind w:left="32" w:firstLineChars="200" w:firstLine="596"/>
        <w:jc w:val="left"/>
        <w:rPr>
          <w:rFonts w:ascii="宋体" w:eastAsia="宋体" w:hAnsi="宋体" w:cs="宋体"/>
          <w:color w:val="000000"/>
          <w:kern w:val="0"/>
          <w:sz w:val="30"/>
          <w:szCs w:val="30"/>
        </w:rPr>
      </w:pPr>
      <w:r>
        <w:rPr>
          <w:rFonts w:ascii="宋体" w:eastAsia="宋体" w:hAnsi="宋体" w:cs="宋体" w:hint="eastAsia"/>
          <w:color w:val="000000"/>
          <w:spacing w:val="-1"/>
          <w:kern w:val="0"/>
          <w:sz w:val="30"/>
          <w:szCs w:val="30"/>
        </w:rPr>
        <w:t>贵阳市妇幼保健院（市儿童医院）超长期国债</w:t>
      </w:r>
      <w:r w:rsidR="0025233D">
        <w:rPr>
          <w:rFonts w:ascii="宋体" w:eastAsia="宋体" w:hAnsi="宋体" w:cs="宋体" w:hint="eastAsia"/>
          <w:color w:val="000000"/>
          <w:spacing w:val="-1"/>
          <w:kern w:val="0"/>
          <w:sz w:val="30"/>
          <w:szCs w:val="30"/>
        </w:rPr>
        <w:t>可行性研究、决策评估及提级论证报告编制服务</w:t>
      </w:r>
    </w:p>
    <w:p w14:paraId="706D4FB1" w14:textId="77777777" w:rsidR="00C869C3" w:rsidRPr="00B208B6" w:rsidRDefault="00C869C3">
      <w:pPr>
        <w:widowControl/>
        <w:kinsoku w:val="0"/>
        <w:autoSpaceDE w:val="0"/>
        <w:autoSpaceDN w:val="0"/>
        <w:adjustRightInd w:val="0"/>
        <w:snapToGrid w:val="0"/>
        <w:spacing w:before="38" w:line="218" w:lineRule="auto"/>
        <w:jc w:val="left"/>
        <w:rPr>
          <w:rFonts w:ascii="宋体" w:eastAsia="宋体" w:hAnsi="宋体" w:cs="宋体"/>
          <w:color w:val="000000"/>
          <w:spacing w:val="-2"/>
          <w:kern w:val="0"/>
          <w:sz w:val="30"/>
          <w:szCs w:val="30"/>
        </w:rPr>
      </w:pPr>
      <w:bookmarkStart w:id="0" w:name="_GoBack"/>
      <w:bookmarkEnd w:id="0"/>
    </w:p>
    <w:p w14:paraId="3A8B3ACB" w14:textId="77777777" w:rsidR="00C869C3" w:rsidRDefault="0025233D">
      <w:pPr>
        <w:widowControl/>
        <w:numPr>
          <w:ilvl w:val="0"/>
          <w:numId w:val="1"/>
        </w:numPr>
        <w:kinsoku w:val="0"/>
        <w:autoSpaceDE w:val="0"/>
        <w:autoSpaceDN w:val="0"/>
        <w:adjustRightInd w:val="0"/>
        <w:snapToGrid w:val="0"/>
        <w:spacing w:before="38" w:line="218" w:lineRule="auto"/>
        <w:jc w:val="left"/>
        <w:rPr>
          <w:rFonts w:ascii="宋体" w:eastAsia="宋体" w:hAnsi="宋体" w:cs="宋体"/>
          <w:color w:val="000000"/>
          <w:spacing w:val="-2"/>
          <w:kern w:val="0"/>
          <w:sz w:val="30"/>
          <w:szCs w:val="30"/>
        </w:rPr>
      </w:pPr>
      <w:r>
        <w:rPr>
          <w:rFonts w:ascii="宋体" w:eastAsia="宋体" w:hAnsi="宋体" w:cs="宋体" w:hint="eastAsia"/>
          <w:color w:val="000000"/>
          <w:spacing w:val="-2"/>
          <w:kern w:val="0"/>
          <w:sz w:val="30"/>
          <w:szCs w:val="30"/>
        </w:rPr>
        <w:t>项目服务范围：对贵阳市妇幼保健院（市儿童医院）病房设施改造项目编制可行性研究报告、决策评估报告和</w:t>
      </w:r>
      <w:r>
        <w:rPr>
          <w:rFonts w:ascii="宋体" w:eastAsia="宋体" w:hAnsi="宋体" w:cs="宋体" w:hint="eastAsia"/>
          <w:color w:val="000000"/>
          <w:spacing w:val="2"/>
          <w:kern w:val="0"/>
          <w:sz w:val="30"/>
          <w:szCs w:val="30"/>
        </w:rPr>
        <w:t>提级论证报告</w:t>
      </w:r>
      <w:r>
        <w:rPr>
          <w:rFonts w:ascii="宋体" w:eastAsia="宋体" w:hAnsi="宋体" w:cs="宋体" w:hint="eastAsia"/>
          <w:color w:val="000000"/>
          <w:spacing w:val="-2"/>
          <w:kern w:val="0"/>
          <w:sz w:val="30"/>
          <w:szCs w:val="30"/>
        </w:rPr>
        <w:t>，内容包括但不仅限于方案设计和投资估算等内容。</w:t>
      </w:r>
    </w:p>
    <w:p w14:paraId="203721CD" w14:textId="77777777" w:rsidR="00C869C3" w:rsidRDefault="0025233D">
      <w:pPr>
        <w:widowControl/>
        <w:kinsoku w:val="0"/>
        <w:autoSpaceDE w:val="0"/>
        <w:autoSpaceDN w:val="0"/>
        <w:adjustRightInd w:val="0"/>
        <w:snapToGrid w:val="0"/>
        <w:spacing w:before="38" w:line="218" w:lineRule="auto"/>
        <w:ind w:firstLineChars="200" w:firstLine="592"/>
        <w:jc w:val="left"/>
        <w:rPr>
          <w:rFonts w:ascii="宋体" w:eastAsia="宋体" w:hAnsi="宋体" w:cs="宋体"/>
          <w:color w:val="000000"/>
          <w:kern w:val="0"/>
          <w:sz w:val="30"/>
          <w:szCs w:val="30"/>
        </w:rPr>
      </w:pPr>
      <w:r>
        <w:rPr>
          <w:rFonts w:ascii="宋体" w:eastAsia="宋体" w:hAnsi="宋体" w:cs="宋体" w:hint="eastAsia"/>
          <w:color w:val="000000"/>
          <w:spacing w:val="-2"/>
          <w:kern w:val="0"/>
          <w:sz w:val="30"/>
          <w:szCs w:val="30"/>
        </w:rPr>
        <w:t>项目总投资约：14700万元，其中土建部分43 00万元，信息设备4900万元，医学设备5500万元。建设规模及内容：改造面积约9000平方米，改造床位226张，主要改造内容为第一住院部多人间病房改造为单人间改建面积0.9万平方米，新增床位0张。本项目完成后，医院优化后单人床位51张,双人床位25张，三人床位150张。主要涉及病房吊顶、病房墙面、病房地面（局部）、卫生间、门禁系统、UPS供电保障、弱电配套设施设备。对配套电梯、空调机组及通风管道进行更新。配套购置病床、输液泵、彩超、鼻咽喉镜等医疗设备一批；信息系统基础设施升级改造；区域医疗协同中心建设，包括区域影像诊断中心、心电诊断中心、检验中心、病理诊断中心，涉及双向转诊、远程会诊服务等；信息设备更新及国产化替代，包括服务器、交换机、存储设备、虚拟化平台等设备及配套软件系统。</w:t>
      </w:r>
    </w:p>
    <w:p w14:paraId="3F5FD730"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2"/>
          <w:kern w:val="0"/>
          <w:sz w:val="30"/>
          <w:szCs w:val="30"/>
        </w:rPr>
      </w:pPr>
      <w:r>
        <w:rPr>
          <w:rFonts w:ascii="宋体" w:eastAsia="宋体" w:hAnsi="宋体" w:cs="宋体" w:hint="eastAsia"/>
          <w:color w:val="000000"/>
          <w:spacing w:val="-2"/>
          <w:kern w:val="0"/>
          <w:sz w:val="30"/>
          <w:szCs w:val="30"/>
        </w:rPr>
        <w:t>3、服务费用总预算：人民币 90000 元，本项目采用总价包干的形式。投标供应商的竞标报价包括完成项目所需的</w:t>
      </w:r>
      <w:proofErr w:type="gramStart"/>
      <w:r>
        <w:rPr>
          <w:rFonts w:ascii="宋体" w:eastAsia="宋体" w:hAnsi="宋体" w:cs="宋体" w:hint="eastAsia"/>
          <w:color w:val="000000"/>
          <w:spacing w:val="-2"/>
          <w:kern w:val="0"/>
          <w:sz w:val="30"/>
          <w:szCs w:val="30"/>
        </w:rPr>
        <w:t>的</w:t>
      </w:r>
      <w:proofErr w:type="gramEnd"/>
      <w:r>
        <w:rPr>
          <w:rFonts w:ascii="宋体" w:eastAsia="宋体" w:hAnsi="宋体" w:cs="宋体" w:hint="eastAsia"/>
          <w:color w:val="000000"/>
          <w:spacing w:val="-2"/>
          <w:kern w:val="0"/>
          <w:sz w:val="30"/>
          <w:szCs w:val="30"/>
        </w:rPr>
        <w:t xml:space="preserve"> 人工费、专家咨询费、交通费、间接费用（含水、电、气、暖）、税金、利润以及可能存在的其它费用。</w:t>
      </w:r>
    </w:p>
    <w:p w14:paraId="5E1C3CD6"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2"/>
          <w:kern w:val="0"/>
          <w:sz w:val="30"/>
          <w:szCs w:val="30"/>
        </w:rPr>
      </w:pPr>
      <w:r>
        <w:rPr>
          <w:rFonts w:ascii="宋体" w:eastAsia="宋体" w:hAnsi="宋体" w:cs="宋体" w:hint="eastAsia"/>
          <w:color w:val="000000"/>
          <w:spacing w:val="-2"/>
          <w:kern w:val="0"/>
          <w:sz w:val="30"/>
          <w:szCs w:val="30"/>
        </w:rPr>
        <w:t>4、投标供应商资格要求</w:t>
      </w:r>
    </w:p>
    <w:p w14:paraId="4C404A0F"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2"/>
          <w:kern w:val="0"/>
          <w:sz w:val="30"/>
          <w:szCs w:val="30"/>
        </w:rPr>
      </w:pPr>
      <w:r>
        <w:rPr>
          <w:rFonts w:ascii="宋体" w:eastAsia="宋体" w:hAnsi="宋体" w:cs="宋体" w:hint="eastAsia"/>
          <w:color w:val="000000"/>
          <w:spacing w:val="-2"/>
          <w:kern w:val="0"/>
          <w:sz w:val="30"/>
          <w:szCs w:val="30"/>
        </w:rPr>
        <w:t>（1）一般资格要求：供应商应具备《中华人民共和国政府采购法</w:t>
      </w:r>
      <w:proofErr w:type="gramStart"/>
      <w:r>
        <w:rPr>
          <w:rFonts w:ascii="宋体" w:eastAsia="宋体" w:hAnsi="宋体" w:cs="宋体" w:hint="eastAsia"/>
          <w:color w:val="000000"/>
          <w:spacing w:val="-2"/>
          <w:kern w:val="0"/>
          <w:sz w:val="30"/>
          <w:szCs w:val="30"/>
        </w:rPr>
        <w:t>》</w:t>
      </w:r>
      <w:proofErr w:type="gramEnd"/>
      <w:r>
        <w:rPr>
          <w:rFonts w:ascii="宋体" w:eastAsia="宋体" w:hAnsi="宋体" w:cs="宋体" w:hint="eastAsia"/>
          <w:color w:val="000000"/>
          <w:spacing w:val="-2"/>
          <w:kern w:val="0"/>
          <w:sz w:val="30"/>
          <w:szCs w:val="30"/>
        </w:rPr>
        <w:t>第二十二条资格条件，具有独立承担民事责任的能力；（提供法人或者其他组织的营业执照等证明文件）</w:t>
      </w:r>
    </w:p>
    <w:p w14:paraId="4643A192"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hint="eastAsia"/>
          <w:color w:val="000000"/>
          <w:spacing w:val="-2"/>
          <w:kern w:val="0"/>
          <w:sz w:val="30"/>
          <w:szCs w:val="30"/>
        </w:rPr>
        <w:t>（2）本项目特殊资格条件：投标供应商须在“全国投资项目在线审批监管平台 ”完成工程咨询单位备案并提供有关资料；投标</w:t>
      </w:r>
      <w:r>
        <w:rPr>
          <w:rFonts w:ascii="宋体" w:eastAsia="宋体" w:hAnsi="宋体" w:cs="宋体" w:hint="eastAsia"/>
          <w:color w:val="000000"/>
          <w:spacing w:val="2"/>
          <w:kern w:val="0"/>
          <w:sz w:val="30"/>
          <w:szCs w:val="30"/>
        </w:rPr>
        <w:t>供应商拟派至本项目的项目负责人须具备高级及以上职称，</w:t>
      </w:r>
      <w:r>
        <w:rPr>
          <w:rFonts w:ascii="宋体" w:eastAsia="宋体" w:hAnsi="宋体" w:cs="宋体" w:hint="eastAsia"/>
          <w:color w:val="000000"/>
          <w:spacing w:val="-1"/>
          <w:kern w:val="0"/>
          <w:sz w:val="30"/>
          <w:szCs w:val="30"/>
        </w:rPr>
        <w:t>提供职称证书复印件并加盖单位公章。</w:t>
      </w:r>
    </w:p>
    <w:p w14:paraId="75EC4DF8"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color w:val="000000"/>
          <w:spacing w:val="-1"/>
          <w:kern w:val="0"/>
          <w:sz w:val="30"/>
          <w:szCs w:val="30"/>
        </w:rPr>
        <w:lastRenderedPageBreak/>
        <w:t>5</w:t>
      </w:r>
      <w:r>
        <w:rPr>
          <w:rFonts w:ascii="宋体" w:eastAsia="宋体" w:hAnsi="宋体" w:cs="宋体" w:hint="eastAsia"/>
          <w:color w:val="000000"/>
          <w:spacing w:val="-1"/>
          <w:kern w:val="0"/>
          <w:sz w:val="30"/>
          <w:szCs w:val="30"/>
        </w:rPr>
        <w:t>、本项目不允许联合体投标及分包。</w:t>
      </w:r>
    </w:p>
    <w:p w14:paraId="4FE665F3"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6、服务要求</w:t>
      </w:r>
    </w:p>
    <w:p w14:paraId="175C3DAF"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color w:val="000000"/>
          <w:spacing w:val="-1"/>
          <w:kern w:val="0"/>
          <w:sz w:val="30"/>
          <w:szCs w:val="30"/>
        </w:rPr>
        <w:t>（</w:t>
      </w:r>
      <w:r>
        <w:rPr>
          <w:rFonts w:ascii="宋体" w:eastAsia="宋体" w:hAnsi="宋体" w:cs="宋体" w:hint="eastAsia"/>
          <w:color w:val="000000"/>
          <w:spacing w:val="-1"/>
          <w:kern w:val="0"/>
          <w:sz w:val="30"/>
          <w:szCs w:val="30"/>
        </w:rPr>
        <w:t>1</w:t>
      </w:r>
      <w:r>
        <w:rPr>
          <w:rFonts w:ascii="宋体" w:eastAsia="宋体" w:hAnsi="宋体" w:cs="宋体"/>
          <w:color w:val="000000"/>
          <w:spacing w:val="-1"/>
          <w:kern w:val="0"/>
          <w:sz w:val="30"/>
          <w:szCs w:val="30"/>
        </w:rPr>
        <w:t>）</w:t>
      </w:r>
      <w:r>
        <w:rPr>
          <w:rFonts w:ascii="宋体" w:eastAsia="宋体" w:hAnsi="宋体" w:cs="宋体" w:hint="eastAsia"/>
          <w:color w:val="000000"/>
          <w:spacing w:val="-1"/>
          <w:kern w:val="0"/>
          <w:sz w:val="30"/>
          <w:szCs w:val="30"/>
        </w:rPr>
        <w:t>提供服务的专业机构具备对三级甲等医院进行改造设计资质和能力（需提供证明材料）；</w:t>
      </w:r>
    </w:p>
    <w:p w14:paraId="44139E03"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color w:val="000000"/>
          <w:spacing w:val="-1"/>
          <w:kern w:val="0"/>
          <w:sz w:val="30"/>
          <w:szCs w:val="30"/>
        </w:rPr>
        <w:t>（</w:t>
      </w:r>
      <w:r>
        <w:rPr>
          <w:rFonts w:ascii="宋体" w:eastAsia="宋体" w:hAnsi="宋体" w:cs="宋体" w:hint="eastAsia"/>
          <w:color w:val="000000"/>
          <w:spacing w:val="-1"/>
          <w:kern w:val="0"/>
          <w:sz w:val="30"/>
          <w:szCs w:val="30"/>
        </w:rPr>
        <w:t>2</w:t>
      </w:r>
      <w:r>
        <w:rPr>
          <w:rFonts w:ascii="宋体" w:eastAsia="宋体" w:hAnsi="宋体" w:cs="宋体"/>
          <w:color w:val="000000"/>
          <w:spacing w:val="-1"/>
          <w:kern w:val="0"/>
          <w:sz w:val="30"/>
          <w:szCs w:val="30"/>
        </w:rPr>
        <w:t>）</w:t>
      </w:r>
      <w:r>
        <w:rPr>
          <w:rFonts w:ascii="宋体" w:eastAsia="宋体" w:hAnsi="宋体" w:cs="宋体" w:hint="eastAsia"/>
          <w:color w:val="000000"/>
          <w:spacing w:val="-1"/>
          <w:kern w:val="0"/>
          <w:sz w:val="30"/>
          <w:szCs w:val="30"/>
        </w:rPr>
        <w:t>对贵阳市妇幼保健院（市儿童医院）病房设施改造项目编制可行性研究报告、决策评估报告和提级论证报告，内容包括但不仅限于方案设计和投资估算等内容；</w:t>
      </w:r>
    </w:p>
    <w:p w14:paraId="1BA907E6"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color w:val="000000"/>
          <w:spacing w:val="-1"/>
          <w:kern w:val="0"/>
          <w:sz w:val="30"/>
          <w:szCs w:val="30"/>
        </w:rPr>
        <w:t>（</w:t>
      </w:r>
      <w:r>
        <w:rPr>
          <w:rFonts w:ascii="宋体" w:eastAsia="宋体" w:hAnsi="宋体" w:cs="宋体" w:hint="eastAsia"/>
          <w:color w:val="000000"/>
          <w:spacing w:val="-1"/>
          <w:kern w:val="0"/>
          <w:sz w:val="30"/>
          <w:szCs w:val="30"/>
        </w:rPr>
        <w:t>3</w:t>
      </w:r>
      <w:r>
        <w:rPr>
          <w:rFonts w:ascii="宋体" w:eastAsia="宋体" w:hAnsi="宋体" w:cs="宋体"/>
          <w:color w:val="000000"/>
          <w:spacing w:val="-1"/>
          <w:kern w:val="0"/>
          <w:sz w:val="30"/>
          <w:szCs w:val="30"/>
        </w:rPr>
        <w:t>）</w:t>
      </w:r>
      <w:r>
        <w:rPr>
          <w:rFonts w:ascii="宋体" w:eastAsia="宋体" w:hAnsi="宋体" w:cs="宋体" w:hint="eastAsia"/>
          <w:color w:val="000000"/>
          <w:spacing w:val="-1"/>
          <w:kern w:val="0"/>
          <w:sz w:val="30"/>
          <w:szCs w:val="30"/>
        </w:rPr>
        <w:t>所有编制报告提交并通过贵阳市发展和改革委员会验收审核；</w:t>
      </w:r>
    </w:p>
    <w:p w14:paraId="4D5319BE"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color w:val="000000"/>
          <w:spacing w:val="-1"/>
          <w:kern w:val="0"/>
          <w:sz w:val="30"/>
          <w:szCs w:val="30"/>
        </w:rPr>
        <w:t>（</w:t>
      </w:r>
      <w:r>
        <w:rPr>
          <w:rFonts w:ascii="宋体" w:eastAsia="宋体" w:hAnsi="宋体" w:cs="宋体" w:hint="eastAsia"/>
          <w:color w:val="000000"/>
          <w:spacing w:val="-1"/>
          <w:kern w:val="0"/>
          <w:sz w:val="30"/>
          <w:szCs w:val="30"/>
        </w:rPr>
        <w:t>4</w:t>
      </w:r>
      <w:r>
        <w:rPr>
          <w:rFonts w:ascii="宋体" w:eastAsia="宋体" w:hAnsi="宋体" w:cs="宋体"/>
          <w:color w:val="000000"/>
          <w:spacing w:val="-1"/>
          <w:kern w:val="0"/>
          <w:sz w:val="30"/>
          <w:szCs w:val="30"/>
        </w:rPr>
        <w:t>）</w:t>
      </w:r>
      <w:r>
        <w:rPr>
          <w:rFonts w:ascii="宋体" w:eastAsia="宋体" w:hAnsi="宋体" w:cs="宋体" w:hint="eastAsia"/>
          <w:color w:val="000000"/>
          <w:spacing w:val="-1"/>
          <w:kern w:val="0"/>
          <w:sz w:val="30"/>
          <w:szCs w:val="30"/>
        </w:rPr>
        <w:t>服务须符合国家与地方相关法律法规及技术规范和标准。</w:t>
      </w:r>
    </w:p>
    <w:p w14:paraId="2855985D"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color w:val="000000"/>
          <w:spacing w:val="-1"/>
          <w:kern w:val="0"/>
          <w:sz w:val="30"/>
          <w:szCs w:val="30"/>
        </w:rPr>
        <w:t>7</w:t>
      </w:r>
      <w:r>
        <w:rPr>
          <w:rFonts w:ascii="宋体" w:eastAsia="宋体" w:hAnsi="宋体" w:cs="宋体" w:hint="eastAsia"/>
          <w:color w:val="000000"/>
          <w:spacing w:val="-1"/>
          <w:kern w:val="0"/>
          <w:sz w:val="30"/>
          <w:szCs w:val="30"/>
        </w:rPr>
        <w:t>、商务要求：</w:t>
      </w:r>
    </w:p>
    <w:p w14:paraId="2C294D88"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（1）服务完成期限：签订合同后 20个工作日内</w:t>
      </w:r>
    </w:p>
    <w:p w14:paraId="214568A1"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w:t>
      </w:r>
      <w:r>
        <w:rPr>
          <w:rFonts w:ascii="宋体" w:eastAsia="宋体" w:hAnsi="宋体" w:cs="宋体"/>
          <w:color w:val="000000"/>
          <w:spacing w:val="-1"/>
          <w:kern w:val="0"/>
          <w:sz w:val="30"/>
          <w:szCs w:val="30"/>
        </w:rPr>
        <w:t>2</w:t>
      </w:r>
      <w:r>
        <w:rPr>
          <w:rFonts w:ascii="宋体" w:eastAsia="宋体" w:hAnsi="宋体" w:cs="宋体" w:hint="eastAsia"/>
          <w:color w:val="000000"/>
          <w:spacing w:val="-1"/>
          <w:kern w:val="0"/>
          <w:sz w:val="30"/>
          <w:szCs w:val="30"/>
        </w:rPr>
        <w:t>）验收标准、规范：符合国家与地方相关法律法规及技术规范和标准。</w:t>
      </w:r>
    </w:p>
    <w:p w14:paraId="58C93F56"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w:t>
      </w:r>
      <w:r>
        <w:rPr>
          <w:rFonts w:ascii="宋体" w:eastAsia="宋体" w:hAnsi="宋体" w:cs="宋体"/>
          <w:color w:val="000000"/>
          <w:spacing w:val="-1"/>
          <w:kern w:val="0"/>
          <w:sz w:val="30"/>
          <w:szCs w:val="30"/>
        </w:rPr>
        <w:t>3</w:t>
      </w:r>
      <w:r>
        <w:rPr>
          <w:rFonts w:ascii="宋体" w:eastAsia="宋体" w:hAnsi="宋体" w:cs="宋体" w:hint="eastAsia"/>
          <w:color w:val="000000"/>
          <w:spacing w:val="-1"/>
          <w:kern w:val="0"/>
          <w:sz w:val="30"/>
          <w:szCs w:val="30"/>
        </w:rPr>
        <w:t>）售后服务：投标供应商根据项目特点提供可行的售后服务方案。</w:t>
      </w:r>
    </w:p>
    <w:p w14:paraId="62075001"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w:t>
      </w:r>
      <w:r>
        <w:rPr>
          <w:rFonts w:ascii="宋体" w:eastAsia="宋体" w:hAnsi="宋体" w:cs="宋体"/>
          <w:color w:val="000000"/>
          <w:spacing w:val="-1"/>
          <w:kern w:val="0"/>
          <w:sz w:val="30"/>
          <w:szCs w:val="30"/>
        </w:rPr>
        <w:t>4</w:t>
      </w:r>
      <w:r>
        <w:rPr>
          <w:rFonts w:ascii="宋体" w:eastAsia="宋体" w:hAnsi="宋体" w:cs="宋体" w:hint="eastAsia"/>
          <w:color w:val="000000"/>
          <w:spacing w:val="-1"/>
          <w:kern w:val="0"/>
          <w:sz w:val="30"/>
          <w:szCs w:val="30"/>
        </w:rPr>
        <w:t>）付款方式</w:t>
      </w:r>
    </w:p>
    <w:p w14:paraId="4D15FCEA"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合同签订后，采购人 15个工作日内向成交供应商支付合同总价的 20 %；成交供应商完成本项目服务编制后，通过采购人验收审核及获得贵阳市发展和改革委员会可行性研究报告批复（以贵阳市妇幼保健院收到批复之日起计算）之后 15个工作日内支付合同款 80 %。</w:t>
      </w:r>
    </w:p>
    <w:p w14:paraId="122071C3"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w:t>
      </w:r>
      <w:r>
        <w:rPr>
          <w:rFonts w:ascii="宋体" w:eastAsia="宋体" w:hAnsi="宋体" w:cs="宋体"/>
          <w:color w:val="000000"/>
          <w:spacing w:val="-1"/>
          <w:kern w:val="0"/>
          <w:sz w:val="30"/>
          <w:szCs w:val="30"/>
        </w:rPr>
        <w:t>5</w:t>
      </w:r>
      <w:r>
        <w:rPr>
          <w:rFonts w:ascii="宋体" w:eastAsia="宋体" w:hAnsi="宋体" w:cs="宋体" w:hint="eastAsia"/>
          <w:color w:val="000000"/>
          <w:spacing w:val="-1"/>
          <w:kern w:val="0"/>
          <w:sz w:val="30"/>
          <w:szCs w:val="30"/>
        </w:rPr>
        <w:t>）履约保证金：本项目 不需要 提交履约保证金。</w:t>
      </w:r>
    </w:p>
    <w:p w14:paraId="194E3646"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8、本项目采购方式</w:t>
      </w:r>
    </w:p>
    <w:p w14:paraId="5442FDA8"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color w:val="000000"/>
          <w:spacing w:val="-1"/>
          <w:kern w:val="0"/>
          <w:sz w:val="30"/>
          <w:szCs w:val="30"/>
        </w:rPr>
        <w:t>（一）本项目采用院内自主竞争性谈判方式进行采购，投标供应商在满足资格条件、符合服务要求、商务要求及项目预算的前提下，由最低报价的投标供应商成为本项目成交单位。</w:t>
      </w:r>
    </w:p>
    <w:p w14:paraId="5FDB5873" w14:textId="77777777" w:rsidR="00C869C3" w:rsidRDefault="0025233D">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r>
        <w:rPr>
          <w:rFonts w:ascii="宋体" w:eastAsia="宋体" w:hAnsi="宋体" w:cs="宋体"/>
          <w:color w:val="000000"/>
          <w:spacing w:val="-1"/>
          <w:kern w:val="0"/>
          <w:sz w:val="30"/>
          <w:szCs w:val="30"/>
        </w:rPr>
        <w:t>（二）服务投标报价表如下：</w:t>
      </w:r>
    </w:p>
    <w:p w14:paraId="488E379F" w14:textId="77777777" w:rsidR="00C869C3" w:rsidRDefault="00C869C3">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p>
    <w:p w14:paraId="338C60B1" w14:textId="77777777" w:rsidR="00C869C3" w:rsidRDefault="00C869C3">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p>
    <w:p w14:paraId="3A18EFF6" w14:textId="77777777" w:rsidR="00C869C3" w:rsidRDefault="00C869C3">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p>
    <w:p w14:paraId="40A6E20E" w14:textId="77777777" w:rsidR="00C869C3" w:rsidRDefault="00C869C3">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p>
    <w:p w14:paraId="393FE83C" w14:textId="77777777" w:rsidR="00C869C3" w:rsidRDefault="00C869C3">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p>
    <w:p w14:paraId="3962229A" w14:textId="77777777" w:rsidR="00C869C3" w:rsidRDefault="00C869C3">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p>
    <w:p w14:paraId="573A0553" w14:textId="77777777" w:rsidR="00C869C3" w:rsidRDefault="00C869C3">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p>
    <w:p w14:paraId="6C478315" w14:textId="77777777" w:rsidR="00C869C3" w:rsidRDefault="00C869C3">
      <w:pPr>
        <w:widowControl/>
        <w:kinsoku w:val="0"/>
        <w:autoSpaceDE w:val="0"/>
        <w:autoSpaceDN w:val="0"/>
        <w:adjustRightInd w:val="0"/>
        <w:snapToGrid w:val="0"/>
        <w:spacing w:before="38" w:line="218" w:lineRule="auto"/>
        <w:jc w:val="left"/>
        <w:rPr>
          <w:rFonts w:ascii="宋体" w:eastAsia="宋体" w:hAnsi="宋体" w:cs="宋体"/>
          <w:color w:val="000000"/>
          <w:spacing w:val="-1"/>
          <w:kern w:val="0"/>
          <w:sz w:val="30"/>
          <w:szCs w:val="30"/>
        </w:rPr>
      </w:pPr>
    </w:p>
    <w:p w14:paraId="2EE25BA0" w14:textId="77777777" w:rsidR="00C869C3" w:rsidRDefault="0025233D">
      <w:pPr>
        <w:widowControl/>
        <w:kinsoku w:val="0"/>
        <w:autoSpaceDE w:val="0"/>
        <w:autoSpaceDN w:val="0"/>
        <w:adjustRightInd w:val="0"/>
        <w:snapToGrid w:val="0"/>
        <w:spacing w:before="275" w:line="218" w:lineRule="auto"/>
        <w:jc w:val="center"/>
        <w:rPr>
          <w:rFonts w:ascii="宋体" w:eastAsia="宋体" w:hAnsi="宋体" w:cs="宋体"/>
          <w:color w:val="000000"/>
          <w:spacing w:val="-1"/>
          <w:kern w:val="0"/>
          <w:sz w:val="30"/>
          <w:szCs w:val="30"/>
        </w:rPr>
      </w:pPr>
      <w:r>
        <w:rPr>
          <w:rFonts w:ascii="宋体" w:eastAsia="宋体" w:hAnsi="宋体" w:cs="宋体" w:hint="eastAsia"/>
          <w:b/>
          <w:color w:val="000000"/>
          <w:spacing w:val="-1"/>
          <w:kern w:val="0"/>
          <w:sz w:val="30"/>
          <w:szCs w:val="30"/>
        </w:rPr>
        <w:lastRenderedPageBreak/>
        <w:t>贵阳市妇幼保健院（市儿童医院）病房设施改造可行性研究、决策评估及提级论证报告编制服务项目报价单</w:t>
      </w:r>
    </w:p>
    <w:tbl>
      <w:tblPr>
        <w:tblStyle w:val="a3"/>
        <w:tblW w:w="8500" w:type="dxa"/>
        <w:tblLook w:val="04A0" w:firstRow="1" w:lastRow="0" w:firstColumn="1" w:lastColumn="0" w:noHBand="0" w:noVBand="1"/>
      </w:tblPr>
      <w:tblGrid>
        <w:gridCol w:w="2689"/>
        <w:gridCol w:w="3260"/>
        <w:gridCol w:w="2551"/>
      </w:tblGrid>
      <w:tr w:rsidR="00C869C3" w14:paraId="0533A9C5" w14:textId="77777777">
        <w:tc>
          <w:tcPr>
            <w:tcW w:w="8500" w:type="dxa"/>
            <w:gridSpan w:val="3"/>
          </w:tcPr>
          <w:p w14:paraId="52FE228A"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b/>
                <w:color w:val="000000"/>
                <w:spacing w:val="-1"/>
                <w:kern w:val="0"/>
                <w:sz w:val="30"/>
                <w:szCs w:val="30"/>
              </w:rPr>
            </w:pPr>
            <w:r>
              <w:rPr>
                <w:rFonts w:ascii="宋体" w:eastAsia="宋体" w:hAnsi="宋体" w:cs="宋体" w:hint="eastAsia"/>
                <w:b/>
                <w:color w:val="000000"/>
                <w:spacing w:val="-1"/>
                <w:kern w:val="0"/>
                <w:sz w:val="30"/>
                <w:szCs w:val="30"/>
              </w:rPr>
              <w:t>一、资格审查（由谈判小组填写）</w:t>
            </w:r>
          </w:p>
        </w:tc>
      </w:tr>
      <w:tr w:rsidR="00C869C3" w14:paraId="65E1342C" w14:textId="77777777">
        <w:tc>
          <w:tcPr>
            <w:tcW w:w="2689" w:type="dxa"/>
          </w:tcPr>
          <w:p w14:paraId="5BE1E66B"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color w:val="000000"/>
                <w:spacing w:val="-1"/>
                <w:kern w:val="0"/>
                <w:sz w:val="28"/>
                <w:szCs w:val="28"/>
              </w:rPr>
            </w:pPr>
            <w:r>
              <w:rPr>
                <w:rFonts w:ascii="宋体" w:eastAsia="宋体" w:hAnsi="宋体" w:cs="宋体" w:hint="eastAsia"/>
                <w:color w:val="000000"/>
                <w:spacing w:val="-1"/>
                <w:kern w:val="0"/>
                <w:sz w:val="28"/>
                <w:szCs w:val="28"/>
              </w:rPr>
              <w:t>采购需求第4</w:t>
            </w:r>
            <w:r>
              <w:rPr>
                <w:rFonts w:ascii="宋体" w:eastAsia="宋体" w:hAnsi="宋体" w:cs="宋体"/>
                <w:color w:val="000000"/>
                <w:spacing w:val="-1"/>
                <w:kern w:val="0"/>
                <w:sz w:val="28"/>
                <w:szCs w:val="28"/>
              </w:rPr>
              <w:t>-（</w:t>
            </w:r>
            <w:r>
              <w:rPr>
                <w:rFonts w:ascii="宋体" w:eastAsia="宋体" w:hAnsi="宋体" w:cs="宋体" w:hint="eastAsia"/>
                <w:color w:val="000000"/>
                <w:spacing w:val="-1"/>
                <w:kern w:val="0"/>
                <w:sz w:val="28"/>
                <w:szCs w:val="28"/>
              </w:rPr>
              <w:t>1</w:t>
            </w:r>
            <w:r>
              <w:rPr>
                <w:rFonts w:ascii="宋体" w:eastAsia="宋体" w:hAnsi="宋体" w:cs="宋体"/>
                <w:color w:val="000000"/>
                <w:spacing w:val="-1"/>
                <w:kern w:val="0"/>
                <w:sz w:val="28"/>
                <w:szCs w:val="28"/>
              </w:rPr>
              <w:t>）</w:t>
            </w:r>
          </w:p>
        </w:tc>
        <w:tc>
          <w:tcPr>
            <w:tcW w:w="3260" w:type="dxa"/>
          </w:tcPr>
          <w:p w14:paraId="4922C41C"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color w:val="000000"/>
                <w:spacing w:val="-1"/>
                <w:kern w:val="0"/>
                <w:sz w:val="28"/>
                <w:szCs w:val="28"/>
              </w:rPr>
            </w:pPr>
            <w:r>
              <w:rPr>
                <w:rFonts w:ascii="宋体" w:eastAsia="宋体" w:hAnsi="宋体" w:cs="宋体" w:hint="eastAsia"/>
                <w:color w:val="000000"/>
                <w:spacing w:val="-1"/>
                <w:kern w:val="0"/>
                <w:sz w:val="28"/>
                <w:szCs w:val="28"/>
              </w:rPr>
              <w:t>一般性资格要求</w:t>
            </w:r>
          </w:p>
        </w:tc>
        <w:tc>
          <w:tcPr>
            <w:tcW w:w="2551" w:type="dxa"/>
          </w:tcPr>
          <w:p w14:paraId="35B397D4"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color w:val="000000"/>
                <w:spacing w:val="-1"/>
                <w:kern w:val="0"/>
                <w:sz w:val="28"/>
                <w:szCs w:val="28"/>
              </w:rPr>
            </w:pPr>
            <w:r>
              <w:rPr>
                <w:rFonts w:ascii="宋体" w:eastAsia="宋体" w:hAnsi="宋体" w:cs="宋体" w:hint="eastAsia"/>
                <w:color w:val="000000"/>
                <w:spacing w:val="-1"/>
                <w:kern w:val="0"/>
                <w:sz w:val="28"/>
                <w:szCs w:val="28"/>
              </w:rPr>
              <w:t>□符合  □不符合</w:t>
            </w:r>
          </w:p>
        </w:tc>
      </w:tr>
      <w:tr w:rsidR="00C869C3" w14:paraId="3F23310A" w14:textId="77777777">
        <w:tc>
          <w:tcPr>
            <w:tcW w:w="2689" w:type="dxa"/>
          </w:tcPr>
          <w:p w14:paraId="0BE34D42"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color w:val="000000"/>
                <w:spacing w:val="-1"/>
                <w:kern w:val="0"/>
                <w:sz w:val="28"/>
                <w:szCs w:val="28"/>
              </w:rPr>
            </w:pPr>
            <w:r>
              <w:rPr>
                <w:rFonts w:ascii="宋体" w:eastAsia="宋体" w:hAnsi="宋体" w:cs="宋体" w:hint="eastAsia"/>
                <w:color w:val="000000"/>
                <w:spacing w:val="-1"/>
                <w:kern w:val="0"/>
                <w:sz w:val="28"/>
                <w:szCs w:val="28"/>
              </w:rPr>
              <w:t>采购需求第4</w:t>
            </w:r>
            <w:r>
              <w:rPr>
                <w:rFonts w:ascii="宋体" w:eastAsia="宋体" w:hAnsi="宋体" w:cs="宋体"/>
                <w:color w:val="000000"/>
                <w:spacing w:val="-1"/>
                <w:kern w:val="0"/>
                <w:sz w:val="28"/>
                <w:szCs w:val="28"/>
              </w:rPr>
              <w:t>-（2）</w:t>
            </w:r>
          </w:p>
        </w:tc>
        <w:tc>
          <w:tcPr>
            <w:tcW w:w="3260" w:type="dxa"/>
          </w:tcPr>
          <w:p w14:paraId="4D95E5A4"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color w:val="000000"/>
                <w:spacing w:val="-1"/>
                <w:kern w:val="0"/>
                <w:sz w:val="28"/>
                <w:szCs w:val="28"/>
              </w:rPr>
            </w:pPr>
            <w:r>
              <w:rPr>
                <w:rFonts w:ascii="宋体" w:eastAsia="宋体" w:hAnsi="宋体" w:cs="宋体" w:hint="eastAsia"/>
                <w:color w:val="000000"/>
                <w:spacing w:val="-1"/>
                <w:kern w:val="0"/>
                <w:sz w:val="28"/>
                <w:szCs w:val="28"/>
              </w:rPr>
              <w:t>特殊资格条件</w:t>
            </w:r>
          </w:p>
        </w:tc>
        <w:tc>
          <w:tcPr>
            <w:tcW w:w="2551" w:type="dxa"/>
          </w:tcPr>
          <w:p w14:paraId="06431EFE"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color w:val="000000"/>
                <w:spacing w:val="-1"/>
                <w:kern w:val="0"/>
                <w:sz w:val="28"/>
                <w:szCs w:val="28"/>
              </w:rPr>
            </w:pPr>
            <w:r>
              <w:rPr>
                <w:rFonts w:ascii="宋体" w:eastAsia="宋体" w:hAnsi="宋体" w:cs="宋体" w:hint="eastAsia"/>
                <w:color w:val="000000"/>
                <w:spacing w:val="-1"/>
                <w:kern w:val="0"/>
                <w:sz w:val="28"/>
                <w:szCs w:val="28"/>
              </w:rPr>
              <w:t>□符合  □不符合</w:t>
            </w:r>
          </w:p>
        </w:tc>
      </w:tr>
      <w:tr w:rsidR="00C869C3" w14:paraId="5A02B851" w14:textId="77777777">
        <w:tc>
          <w:tcPr>
            <w:tcW w:w="8500" w:type="dxa"/>
            <w:gridSpan w:val="3"/>
          </w:tcPr>
          <w:p w14:paraId="68C08272"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b/>
                <w:color w:val="000000"/>
                <w:spacing w:val="-1"/>
                <w:kern w:val="0"/>
                <w:sz w:val="30"/>
                <w:szCs w:val="30"/>
              </w:rPr>
            </w:pPr>
            <w:r>
              <w:rPr>
                <w:rFonts w:ascii="宋体" w:eastAsia="宋体" w:hAnsi="宋体" w:cs="宋体" w:hint="eastAsia"/>
                <w:b/>
                <w:color w:val="000000"/>
                <w:spacing w:val="-1"/>
                <w:kern w:val="0"/>
                <w:sz w:val="30"/>
                <w:szCs w:val="30"/>
              </w:rPr>
              <w:t>二、服务要求符合性</w:t>
            </w:r>
          </w:p>
        </w:tc>
      </w:tr>
      <w:tr w:rsidR="00C869C3" w14:paraId="790255A1" w14:textId="77777777">
        <w:tc>
          <w:tcPr>
            <w:tcW w:w="2689" w:type="dxa"/>
          </w:tcPr>
          <w:p w14:paraId="0B48B0E7"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b/>
                <w:color w:val="000000"/>
                <w:spacing w:val="-1"/>
                <w:kern w:val="0"/>
                <w:sz w:val="30"/>
                <w:szCs w:val="30"/>
              </w:rPr>
            </w:pPr>
            <w:r>
              <w:rPr>
                <w:rFonts w:ascii="宋体" w:eastAsia="宋体" w:hAnsi="宋体" w:cs="宋体" w:hint="eastAsia"/>
                <w:b/>
                <w:color w:val="000000"/>
                <w:spacing w:val="-1"/>
                <w:kern w:val="0"/>
                <w:sz w:val="30"/>
                <w:szCs w:val="30"/>
              </w:rPr>
              <w:t>服务要求内容</w:t>
            </w:r>
          </w:p>
        </w:tc>
        <w:tc>
          <w:tcPr>
            <w:tcW w:w="3260" w:type="dxa"/>
          </w:tcPr>
          <w:p w14:paraId="52834B1A"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b/>
                <w:color w:val="000000"/>
                <w:spacing w:val="-1"/>
                <w:kern w:val="0"/>
                <w:sz w:val="30"/>
                <w:szCs w:val="30"/>
              </w:rPr>
            </w:pPr>
            <w:r>
              <w:rPr>
                <w:rFonts w:ascii="宋体" w:eastAsia="宋体" w:hAnsi="宋体" w:cs="宋体" w:hint="eastAsia"/>
                <w:b/>
                <w:color w:val="000000"/>
                <w:spacing w:val="-1"/>
                <w:kern w:val="0"/>
                <w:sz w:val="30"/>
                <w:szCs w:val="30"/>
              </w:rPr>
              <w:t>投标供应商响应或承诺</w:t>
            </w:r>
          </w:p>
        </w:tc>
        <w:tc>
          <w:tcPr>
            <w:tcW w:w="2551" w:type="dxa"/>
          </w:tcPr>
          <w:p w14:paraId="61F3D2FD"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b/>
                <w:color w:val="000000"/>
                <w:spacing w:val="-1"/>
                <w:kern w:val="0"/>
                <w:sz w:val="30"/>
                <w:szCs w:val="30"/>
              </w:rPr>
            </w:pPr>
            <w:r>
              <w:rPr>
                <w:rFonts w:ascii="宋体" w:eastAsia="宋体" w:hAnsi="宋体" w:cs="宋体" w:hint="eastAsia"/>
                <w:b/>
                <w:color w:val="000000"/>
                <w:spacing w:val="-1"/>
                <w:kern w:val="0"/>
                <w:sz w:val="30"/>
                <w:szCs w:val="30"/>
              </w:rPr>
              <w:t>谈判小组核实</w:t>
            </w:r>
          </w:p>
        </w:tc>
      </w:tr>
      <w:tr w:rsidR="00C869C3" w14:paraId="2EA850FC" w14:textId="77777777">
        <w:tc>
          <w:tcPr>
            <w:tcW w:w="2689" w:type="dxa"/>
          </w:tcPr>
          <w:p w14:paraId="3D8F125B" w14:textId="77777777" w:rsidR="00C869C3" w:rsidRDefault="0025233D">
            <w:pPr>
              <w:rPr>
                <w:sz w:val="28"/>
                <w:szCs w:val="28"/>
              </w:rPr>
            </w:pPr>
            <w:r>
              <w:rPr>
                <w:rFonts w:ascii="宋体" w:eastAsia="宋体" w:hAnsi="宋体" w:cs="宋体" w:hint="eastAsia"/>
                <w:color w:val="000000"/>
                <w:spacing w:val="-1"/>
                <w:kern w:val="0"/>
                <w:sz w:val="28"/>
                <w:szCs w:val="28"/>
              </w:rPr>
              <w:t>采购需求第</w:t>
            </w:r>
            <w:r>
              <w:rPr>
                <w:rFonts w:ascii="宋体" w:eastAsia="宋体" w:hAnsi="宋体" w:cs="宋体"/>
                <w:color w:val="000000"/>
                <w:spacing w:val="-1"/>
                <w:kern w:val="0"/>
                <w:sz w:val="28"/>
                <w:szCs w:val="28"/>
              </w:rPr>
              <w:t>6-（</w:t>
            </w:r>
            <w:r>
              <w:rPr>
                <w:rFonts w:ascii="宋体" w:eastAsia="宋体" w:hAnsi="宋体" w:cs="宋体" w:hint="eastAsia"/>
                <w:color w:val="000000"/>
                <w:spacing w:val="-1"/>
                <w:kern w:val="0"/>
                <w:sz w:val="28"/>
                <w:szCs w:val="28"/>
              </w:rPr>
              <w:t>1</w:t>
            </w:r>
            <w:r>
              <w:rPr>
                <w:rFonts w:ascii="宋体" w:eastAsia="宋体" w:hAnsi="宋体" w:cs="宋体"/>
                <w:color w:val="000000"/>
                <w:spacing w:val="-1"/>
                <w:kern w:val="0"/>
                <w:sz w:val="28"/>
                <w:szCs w:val="28"/>
              </w:rPr>
              <w:t>）</w:t>
            </w:r>
          </w:p>
        </w:tc>
        <w:tc>
          <w:tcPr>
            <w:tcW w:w="3260" w:type="dxa"/>
          </w:tcPr>
          <w:p w14:paraId="7ECE9B89"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color w:val="000000"/>
                <w:spacing w:val="-1"/>
                <w:kern w:val="0"/>
                <w:sz w:val="28"/>
                <w:szCs w:val="28"/>
              </w:rPr>
            </w:pPr>
            <w:r>
              <w:rPr>
                <w:rFonts w:ascii="宋体" w:eastAsia="宋体" w:hAnsi="宋体" w:cs="宋体" w:hint="eastAsia"/>
                <w:color w:val="000000"/>
                <w:spacing w:val="-1"/>
                <w:kern w:val="0"/>
                <w:sz w:val="28"/>
                <w:szCs w:val="28"/>
              </w:rPr>
              <w:t>□符合  □不符合</w:t>
            </w:r>
          </w:p>
        </w:tc>
        <w:tc>
          <w:tcPr>
            <w:tcW w:w="2551" w:type="dxa"/>
          </w:tcPr>
          <w:p w14:paraId="5E5FED94"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color w:val="000000"/>
                <w:spacing w:val="-1"/>
                <w:kern w:val="0"/>
                <w:sz w:val="28"/>
                <w:szCs w:val="28"/>
              </w:rPr>
            </w:pPr>
            <w:r>
              <w:rPr>
                <w:rFonts w:ascii="宋体" w:eastAsia="宋体" w:hAnsi="宋体" w:cs="宋体" w:hint="eastAsia"/>
                <w:color w:val="000000"/>
                <w:spacing w:val="-1"/>
                <w:kern w:val="0"/>
                <w:sz w:val="28"/>
                <w:szCs w:val="28"/>
              </w:rPr>
              <w:t>□符合  □不符合</w:t>
            </w:r>
          </w:p>
        </w:tc>
      </w:tr>
      <w:tr w:rsidR="00C869C3" w14:paraId="03CC7B3D" w14:textId="77777777">
        <w:tc>
          <w:tcPr>
            <w:tcW w:w="2689" w:type="dxa"/>
          </w:tcPr>
          <w:p w14:paraId="2D7DEEED" w14:textId="77777777" w:rsidR="00C869C3" w:rsidRDefault="0025233D">
            <w:pPr>
              <w:rPr>
                <w:sz w:val="28"/>
                <w:szCs w:val="28"/>
              </w:rPr>
            </w:pPr>
            <w:r>
              <w:rPr>
                <w:rFonts w:ascii="宋体" w:eastAsia="宋体" w:hAnsi="宋体" w:cs="宋体" w:hint="eastAsia"/>
                <w:color w:val="000000"/>
                <w:spacing w:val="-1"/>
                <w:kern w:val="0"/>
                <w:sz w:val="28"/>
                <w:szCs w:val="28"/>
              </w:rPr>
              <w:t>采购需求第</w:t>
            </w:r>
            <w:r>
              <w:rPr>
                <w:rFonts w:ascii="宋体" w:eastAsia="宋体" w:hAnsi="宋体" w:cs="宋体"/>
                <w:color w:val="000000"/>
                <w:spacing w:val="-1"/>
                <w:kern w:val="0"/>
                <w:sz w:val="28"/>
                <w:szCs w:val="28"/>
              </w:rPr>
              <w:t>6-（2）</w:t>
            </w:r>
          </w:p>
        </w:tc>
        <w:tc>
          <w:tcPr>
            <w:tcW w:w="3260" w:type="dxa"/>
          </w:tcPr>
          <w:p w14:paraId="580D447C"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c>
          <w:tcPr>
            <w:tcW w:w="2551" w:type="dxa"/>
          </w:tcPr>
          <w:p w14:paraId="071FB401"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r>
      <w:tr w:rsidR="00C869C3" w14:paraId="32D70571" w14:textId="77777777">
        <w:tc>
          <w:tcPr>
            <w:tcW w:w="2689" w:type="dxa"/>
          </w:tcPr>
          <w:p w14:paraId="14814E9A" w14:textId="77777777" w:rsidR="00C869C3" w:rsidRDefault="0025233D">
            <w:pPr>
              <w:rPr>
                <w:sz w:val="28"/>
                <w:szCs w:val="28"/>
              </w:rPr>
            </w:pPr>
            <w:r>
              <w:rPr>
                <w:rFonts w:ascii="宋体" w:eastAsia="宋体" w:hAnsi="宋体" w:cs="宋体" w:hint="eastAsia"/>
                <w:color w:val="000000"/>
                <w:spacing w:val="-1"/>
                <w:kern w:val="0"/>
                <w:sz w:val="28"/>
                <w:szCs w:val="28"/>
              </w:rPr>
              <w:t>采购需求第</w:t>
            </w:r>
            <w:r>
              <w:rPr>
                <w:rFonts w:ascii="宋体" w:eastAsia="宋体" w:hAnsi="宋体" w:cs="宋体"/>
                <w:color w:val="000000"/>
                <w:spacing w:val="-1"/>
                <w:kern w:val="0"/>
                <w:sz w:val="28"/>
                <w:szCs w:val="28"/>
              </w:rPr>
              <w:t>6-（3）</w:t>
            </w:r>
          </w:p>
        </w:tc>
        <w:tc>
          <w:tcPr>
            <w:tcW w:w="3260" w:type="dxa"/>
          </w:tcPr>
          <w:p w14:paraId="4D242160"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c>
          <w:tcPr>
            <w:tcW w:w="2551" w:type="dxa"/>
          </w:tcPr>
          <w:p w14:paraId="0F48072F"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r>
      <w:tr w:rsidR="00C869C3" w14:paraId="589403D5" w14:textId="77777777">
        <w:tc>
          <w:tcPr>
            <w:tcW w:w="2689" w:type="dxa"/>
          </w:tcPr>
          <w:p w14:paraId="0816953B" w14:textId="77777777" w:rsidR="00C869C3" w:rsidRDefault="0025233D">
            <w:pPr>
              <w:rPr>
                <w:sz w:val="28"/>
                <w:szCs w:val="28"/>
              </w:rPr>
            </w:pPr>
            <w:r>
              <w:rPr>
                <w:rFonts w:ascii="宋体" w:eastAsia="宋体" w:hAnsi="宋体" w:cs="宋体" w:hint="eastAsia"/>
                <w:color w:val="000000"/>
                <w:spacing w:val="-1"/>
                <w:kern w:val="0"/>
                <w:sz w:val="28"/>
                <w:szCs w:val="28"/>
              </w:rPr>
              <w:t>采购需求第</w:t>
            </w:r>
            <w:r>
              <w:rPr>
                <w:rFonts w:ascii="宋体" w:eastAsia="宋体" w:hAnsi="宋体" w:cs="宋体"/>
                <w:color w:val="000000"/>
                <w:spacing w:val="-1"/>
                <w:kern w:val="0"/>
                <w:sz w:val="28"/>
                <w:szCs w:val="28"/>
              </w:rPr>
              <w:t>6-（4）</w:t>
            </w:r>
          </w:p>
        </w:tc>
        <w:tc>
          <w:tcPr>
            <w:tcW w:w="3260" w:type="dxa"/>
          </w:tcPr>
          <w:p w14:paraId="6D6E4373"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c>
          <w:tcPr>
            <w:tcW w:w="2551" w:type="dxa"/>
          </w:tcPr>
          <w:p w14:paraId="7ECB3FF3"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r>
      <w:tr w:rsidR="00C869C3" w14:paraId="5423DBD7" w14:textId="77777777">
        <w:tc>
          <w:tcPr>
            <w:tcW w:w="8500" w:type="dxa"/>
            <w:gridSpan w:val="3"/>
          </w:tcPr>
          <w:p w14:paraId="7D1149AF"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b/>
                <w:color w:val="000000"/>
                <w:spacing w:val="-1"/>
                <w:kern w:val="0"/>
                <w:sz w:val="30"/>
                <w:szCs w:val="30"/>
              </w:rPr>
            </w:pPr>
            <w:r>
              <w:rPr>
                <w:rFonts w:ascii="宋体" w:eastAsia="宋体" w:hAnsi="宋体" w:cs="宋体" w:hint="eastAsia"/>
                <w:b/>
                <w:color w:val="000000"/>
                <w:spacing w:val="-1"/>
                <w:kern w:val="0"/>
                <w:sz w:val="30"/>
                <w:szCs w:val="30"/>
              </w:rPr>
              <w:t>三、商务要求符合性</w:t>
            </w:r>
          </w:p>
        </w:tc>
      </w:tr>
      <w:tr w:rsidR="00C869C3" w14:paraId="7576C4B7" w14:textId="77777777">
        <w:tc>
          <w:tcPr>
            <w:tcW w:w="2689" w:type="dxa"/>
          </w:tcPr>
          <w:p w14:paraId="40F7E989"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b/>
                <w:color w:val="000000"/>
                <w:spacing w:val="-1"/>
                <w:kern w:val="0"/>
                <w:sz w:val="30"/>
                <w:szCs w:val="30"/>
              </w:rPr>
            </w:pPr>
            <w:r>
              <w:rPr>
                <w:rFonts w:ascii="宋体" w:eastAsia="宋体" w:hAnsi="宋体" w:cs="宋体" w:hint="eastAsia"/>
                <w:b/>
                <w:color w:val="000000"/>
                <w:spacing w:val="-1"/>
                <w:kern w:val="0"/>
                <w:sz w:val="30"/>
                <w:szCs w:val="30"/>
              </w:rPr>
              <w:t>商务要求内容</w:t>
            </w:r>
          </w:p>
        </w:tc>
        <w:tc>
          <w:tcPr>
            <w:tcW w:w="3260" w:type="dxa"/>
          </w:tcPr>
          <w:p w14:paraId="5DEE6B7C"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b/>
                <w:color w:val="000000"/>
                <w:spacing w:val="-1"/>
                <w:kern w:val="0"/>
                <w:sz w:val="30"/>
                <w:szCs w:val="30"/>
              </w:rPr>
            </w:pPr>
            <w:r>
              <w:rPr>
                <w:rFonts w:ascii="宋体" w:eastAsia="宋体" w:hAnsi="宋体" w:cs="宋体" w:hint="eastAsia"/>
                <w:b/>
                <w:color w:val="000000"/>
                <w:spacing w:val="-1"/>
                <w:kern w:val="0"/>
                <w:sz w:val="30"/>
                <w:szCs w:val="30"/>
              </w:rPr>
              <w:t>投标供应商响应或承诺</w:t>
            </w:r>
          </w:p>
        </w:tc>
        <w:tc>
          <w:tcPr>
            <w:tcW w:w="2551" w:type="dxa"/>
          </w:tcPr>
          <w:p w14:paraId="736AE861" w14:textId="77777777" w:rsidR="00C869C3" w:rsidRDefault="0025233D">
            <w:pPr>
              <w:widowControl/>
              <w:kinsoku w:val="0"/>
              <w:autoSpaceDE w:val="0"/>
              <w:autoSpaceDN w:val="0"/>
              <w:adjustRightInd w:val="0"/>
              <w:snapToGrid w:val="0"/>
              <w:spacing w:before="275" w:line="218" w:lineRule="auto"/>
              <w:jc w:val="left"/>
              <w:rPr>
                <w:rFonts w:ascii="宋体" w:eastAsia="宋体" w:hAnsi="宋体" w:cs="宋体"/>
                <w:b/>
                <w:color w:val="000000"/>
                <w:spacing w:val="-1"/>
                <w:kern w:val="0"/>
                <w:sz w:val="30"/>
                <w:szCs w:val="30"/>
              </w:rPr>
            </w:pPr>
            <w:r>
              <w:rPr>
                <w:rFonts w:ascii="宋体" w:eastAsia="宋体" w:hAnsi="宋体" w:cs="宋体" w:hint="eastAsia"/>
                <w:b/>
                <w:color w:val="000000"/>
                <w:spacing w:val="-1"/>
                <w:kern w:val="0"/>
                <w:sz w:val="30"/>
                <w:szCs w:val="30"/>
              </w:rPr>
              <w:t>谈判小组核实</w:t>
            </w:r>
          </w:p>
        </w:tc>
      </w:tr>
      <w:tr w:rsidR="00C869C3" w14:paraId="72EFEA7F" w14:textId="77777777">
        <w:tc>
          <w:tcPr>
            <w:tcW w:w="2689" w:type="dxa"/>
          </w:tcPr>
          <w:p w14:paraId="4F76055C" w14:textId="77777777" w:rsidR="00C869C3" w:rsidRDefault="0025233D">
            <w:pPr>
              <w:rPr>
                <w:sz w:val="28"/>
                <w:szCs w:val="28"/>
              </w:rPr>
            </w:pPr>
            <w:r>
              <w:rPr>
                <w:rFonts w:ascii="宋体" w:eastAsia="宋体" w:hAnsi="宋体" w:cs="宋体" w:hint="eastAsia"/>
                <w:color w:val="000000"/>
                <w:spacing w:val="-1"/>
                <w:kern w:val="0"/>
                <w:sz w:val="28"/>
                <w:szCs w:val="28"/>
              </w:rPr>
              <w:t>采购需求第</w:t>
            </w:r>
            <w:r>
              <w:rPr>
                <w:rFonts w:ascii="宋体" w:eastAsia="宋体" w:hAnsi="宋体" w:cs="宋体"/>
                <w:color w:val="000000"/>
                <w:spacing w:val="-1"/>
                <w:kern w:val="0"/>
                <w:sz w:val="28"/>
                <w:szCs w:val="28"/>
              </w:rPr>
              <w:t>7-（</w:t>
            </w:r>
            <w:r>
              <w:rPr>
                <w:rFonts w:ascii="宋体" w:eastAsia="宋体" w:hAnsi="宋体" w:cs="宋体" w:hint="eastAsia"/>
                <w:color w:val="000000"/>
                <w:spacing w:val="-1"/>
                <w:kern w:val="0"/>
                <w:sz w:val="28"/>
                <w:szCs w:val="28"/>
              </w:rPr>
              <w:t>1</w:t>
            </w:r>
            <w:r>
              <w:rPr>
                <w:rFonts w:ascii="宋体" w:eastAsia="宋体" w:hAnsi="宋体" w:cs="宋体"/>
                <w:color w:val="000000"/>
                <w:spacing w:val="-1"/>
                <w:kern w:val="0"/>
                <w:sz w:val="28"/>
                <w:szCs w:val="28"/>
              </w:rPr>
              <w:t>）</w:t>
            </w:r>
          </w:p>
        </w:tc>
        <w:tc>
          <w:tcPr>
            <w:tcW w:w="3260" w:type="dxa"/>
          </w:tcPr>
          <w:p w14:paraId="369FE361"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c>
          <w:tcPr>
            <w:tcW w:w="2551" w:type="dxa"/>
          </w:tcPr>
          <w:p w14:paraId="0A89D628"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r>
      <w:tr w:rsidR="00C869C3" w14:paraId="1FA3FA8B" w14:textId="77777777">
        <w:tc>
          <w:tcPr>
            <w:tcW w:w="2689" w:type="dxa"/>
          </w:tcPr>
          <w:p w14:paraId="1222A4C4" w14:textId="77777777" w:rsidR="00C869C3" w:rsidRDefault="0025233D">
            <w:pPr>
              <w:rPr>
                <w:sz w:val="28"/>
                <w:szCs w:val="28"/>
              </w:rPr>
            </w:pPr>
            <w:r>
              <w:rPr>
                <w:rFonts w:ascii="宋体" w:eastAsia="宋体" w:hAnsi="宋体" w:cs="宋体" w:hint="eastAsia"/>
                <w:color w:val="000000"/>
                <w:spacing w:val="-1"/>
                <w:kern w:val="0"/>
                <w:sz w:val="28"/>
                <w:szCs w:val="28"/>
              </w:rPr>
              <w:t>采购需求第</w:t>
            </w:r>
            <w:r>
              <w:rPr>
                <w:rFonts w:ascii="宋体" w:eastAsia="宋体" w:hAnsi="宋体" w:cs="宋体"/>
                <w:color w:val="000000"/>
                <w:spacing w:val="-1"/>
                <w:kern w:val="0"/>
                <w:sz w:val="28"/>
                <w:szCs w:val="28"/>
              </w:rPr>
              <w:t>7-（2）</w:t>
            </w:r>
          </w:p>
        </w:tc>
        <w:tc>
          <w:tcPr>
            <w:tcW w:w="3260" w:type="dxa"/>
          </w:tcPr>
          <w:p w14:paraId="343ED7C8"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c>
          <w:tcPr>
            <w:tcW w:w="2551" w:type="dxa"/>
          </w:tcPr>
          <w:p w14:paraId="0DF638F4"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r>
      <w:tr w:rsidR="00C869C3" w14:paraId="3471B82D" w14:textId="77777777">
        <w:tc>
          <w:tcPr>
            <w:tcW w:w="2689" w:type="dxa"/>
          </w:tcPr>
          <w:p w14:paraId="6A0CF084" w14:textId="77777777" w:rsidR="00C869C3" w:rsidRDefault="0025233D">
            <w:pPr>
              <w:rPr>
                <w:sz w:val="28"/>
                <w:szCs w:val="28"/>
              </w:rPr>
            </w:pPr>
            <w:r>
              <w:rPr>
                <w:rFonts w:ascii="宋体" w:eastAsia="宋体" w:hAnsi="宋体" w:cs="宋体" w:hint="eastAsia"/>
                <w:color w:val="000000"/>
                <w:spacing w:val="-1"/>
                <w:kern w:val="0"/>
                <w:sz w:val="28"/>
                <w:szCs w:val="28"/>
              </w:rPr>
              <w:t>采购需求第</w:t>
            </w:r>
            <w:r>
              <w:rPr>
                <w:rFonts w:ascii="宋体" w:eastAsia="宋体" w:hAnsi="宋体" w:cs="宋体"/>
                <w:color w:val="000000"/>
                <w:spacing w:val="-1"/>
                <w:kern w:val="0"/>
                <w:sz w:val="28"/>
                <w:szCs w:val="28"/>
              </w:rPr>
              <w:t>7-（3）</w:t>
            </w:r>
          </w:p>
        </w:tc>
        <w:tc>
          <w:tcPr>
            <w:tcW w:w="3260" w:type="dxa"/>
          </w:tcPr>
          <w:p w14:paraId="2727B0C4"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c>
          <w:tcPr>
            <w:tcW w:w="2551" w:type="dxa"/>
          </w:tcPr>
          <w:p w14:paraId="747A530A"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r>
      <w:tr w:rsidR="00C869C3" w14:paraId="457ADD49" w14:textId="77777777">
        <w:tc>
          <w:tcPr>
            <w:tcW w:w="2689" w:type="dxa"/>
          </w:tcPr>
          <w:p w14:paraId="450EC65C" w14:textId="77777777" w:rsidR="00C869C3" w:rsidRDefault="0025233D">
            <w:pPr>
              <w:rPr>
                <w:sz w:val="28"/>
                <w:szCs w:val="28"/>
              </w:rPr>
            </w:pPr>
            <w:r>
              <w:rPr>
                <w:rFonts w:ascii="宋体" w:eastAsia="宋体" w:hAnsi="宋体" w:cs="宋体" w:hint="eastAsia"/>
                <w:color w:val="000000"/>
                <w:spacing w:val="-1"/>
                <w:kern w:val="0"/>
                <w:sz w:val="28"/>
                <w:szCs w:val="28"/>
              </w:rPr>
              <w:t>采购需求第</w:t>
            </w:r>
            <w:r>
              <w:rPr>
                <w:rFonts w:ascii="宋体" w:eastAsia="宋体" w:hAnsi="宋体" w:cs="宋体"/>
                <w:color w:val="000000"/>
                <w:spacing w:val="-1"/>
                <w:kern w:val="0"/>
                <w:sz w:val="28"/>
                <w:szCs w:val="28"/>
              </w:rPr>
              <w:t>7-（4）</w:t>
            </w:r>
          </w:p>
        </w:tc>
        <w:tc>
          <w:tcPr>
            <w:tcW w:w="3260" w:type="dxa"/>
          </w:tcPr>
          <w:p w14:paraId="5FC69A6F"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c>
          <w:tcPr>
            <w:tcW w:w="2551" w:type="dxa"/>
          </w:tcPr>
          <w:p w14:paraId="2B90DDB7"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r>
      <w:tr w:rsidR="00C869C3" w14:paraId="709E812C" w14:textId="77777777">
        <w:tc>
          <w:tcPr>
            <w:tcW w:w="2689" w:type="dxa"/>
          </w:tcPr>
          <w:p w14:paraId="3CF4B0E4" w14:textId="77777777" w:rsidR="00C869C3" w:rsidRDefault="0025233D">
            <w:pPr>
              <w:rPr>
                <w:sz w:val="28"/>
                <w:szCs w:val="28"/>
              </w:rPr>
            </w:pPr>
            <w:r>
              <w:rPr>
                <w:rFonts w:ascii="宋体" w:eastAsia="宋体" w:hAnsi="宋体" w:cs="宋体" w:hint="eastAsia"/>
                <w:color w:val="000000"/>
                <w:spacing w:val="-1"/>
                <w:kern w:val="0"/>
                <w:sz w:val="28"/>
                <w:szCs w:val="28"/>
              </w:rPr>
              <w:t>采购需求第</w:t>
            </w:r>
            <w:r>
              <w:rPr>
                <w:rFonts w:ascii="宋体" w:eastAsia="宋体" w:hAnsi="宋体" w:cs="宋体"/>
                <w:color w:val="000000"/>
                <w:spacing w:val="-1"/>
                <w:kern w:val="0"/>
                <w:sz w:val="28"/>
                <w:szCs w:val="28"/>
              </w:rPr>
              <w:t>7-（5）</w:t>
            </w:r>
          </w:p>
        </w:tc>
        <w:tc>
          <w:tcPr>
            <w:tcW w:w="3260" w:type="dxa"/>
          </w:tcPr>
          <w:p w14:paraId="4A4BD4DB"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c>
          <w:tcPr>
            <w:tcW w:w="2551" w:type="dxa"/>
          </w:tcPr>
          <w:p w14:paraId="32B9AC00" w14:textId="77777777" w:rsidR="00C869C3" w:rsidRDefault="0025233D">
            <w:pPr>
              <w:rPr>
                <w:sz w:val="28"/>
                <w:szCs w:val="28"/>
              </w:rPr>
            </w:pPr>
            <w:r>
              <w:rPr>
                <w:rFonts w:ascii="宋体" w:eastAsia="宋体" w:hAnsi="宋体" w:cs="宋体" w:hint="eastAsia"/>
                <w:color w:val="000000"/>
                <w:spacing w:val="-1"/>
                <w:kern w:val="0"/>
                <w:sz w:val="28"/>
                <w:szCs w:val="28"/>
              </w:rPr>
              <w:t>□符合  □不符合</w:t>
            </w:r>
          </w:p>
        </w:tc>
      </w:tr>
      <w:tr w:rsidR="00C869C3" w14:paraId="0BED25FA" w14:textId="77777777">
        <w:tc>
          <w:tcPr>
            <w:tcW w:w="2689" w:type="dxa"/>
          </w:tcPr>
          <w:p w14:paraId="75DFEBBD" w14:textId="77777777" w:rsidR="00C869C3" w:rsidRDefault="0025233D">
            <w:pPr>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四、投标供应商最终报价（元）</w:t>
            </w:r>
          </w:p>
        </w:tc>
        <w:tc>
          <w:tcPr>
            <w:tcW w:w="3260" w:type="dxa"/>
          </w:tcPr>
          <w:p w14:paraId="47759F07" w14:textId="77777777" w:rsidR="00C869C3" w:rsidRDefault="0025233D">
            <w:pPr>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大写（小写）：</w:t>
            </w:r>
          </w:p>
          <w:p w14:paraId="5D44EB59" w14:textId="77777777" w:rsidR="00C869C3" w:rsidRDefault="00C869C3">
            <w:pPr>
              <w:rPr>
                <w:rFonts w:ascii="宋体" w:eastAsia="宋体" w:hAnsi="宋体" w:cs="宋体"/>
                <w:color w:val="000000"/>
                <w:spacing w:val="-1"/>
                <w:kern w:val="0"/>
                <w:sz w:val="30"/>
                <w:szCs w:val="30"/>
              </w:rPr>
            </w:pPr>
          </w:p>
        </w:tc>
        <w:tc>
          <w:tcPr>
            <w:tcW w:w="2551" w:type="dxa"/>
          </w:tcPr>
          <w:p w14:paraId="3B88F350" w14:textId="77777777" w:rsidR="00C869C3" w:rsidRDefault="0025233D">
            <w:pPr>
              <w:rPr>
                <w:rFonts w:ascii="宋体" w:eastAsia="宋体" w:hAnsi="宋体" w:cs="宋体"/>
                <w:color w:val="000000"/>
                <w:spacing w:val="-1"/>
                <w:kern w:val="0"/>
                <w:sz w:val="30"/>
                <w:szCs w:val="30"/>
              </w:rPr>
            </w:pPr>
            <w:r>
              <w:rPr>
                <w:rFonts w:ascii="宋体" w:eastAsia="宋体" w:hAnsi="宋体" w:cs="宋体" w:hint="eastAsia"/>
                <w:color w:val="000000"/>
                <w:spacing w:val="-1"/>
                <w:kern w:val="0"/>
                <w:sz w:val="30"/>
                <w:szCs w:val="30"/>
              </w:rPr>
              <w:t>报价人签名：</w:t>
            </w:r>
          </w:p>
        </w:tc>
      </w:tr>
    </w:tbl>
    <w:p w14:paraId="7625CA40" w14:textId="77777777" w:rsidR="00C869C3" w:rsidRDefault="00C869C3">
      <w:pPr>
        <w:widowControl/>
        <w:kinsoku w:val="0"/>
        <w:autoSpaceDE w:val="0"/>
        <w:autoSpaceDN w:val="0"/>
        <w:adjustRightInd w:val="0"/>
        <w:snapToGrid w:val="0"/>
        <w:spacing w:before="275" w:line="218" w:lineRule="auto"/>
        <w:ind w:firstLineChars="200" w:firstLine="596"/>
        <w:jc w:val="left"/>
        <w:rPr>
          <w:rFonts w:ascii="宋体" w:eastAsia="宋体" w:hAnsi="宋体" w:cs="宋体"/>
          <w:color w:val="000000"/>
          <w:spacing w:val="-1"/>
          <w:kern w:val="0"/>
          <w:sz w:val="30"/>
          <w:szCs w:val="30"/>
        </w:rPr>
      </w:pPr>
    </w:p>
    <w:p w14:paraId="7C8C6C14" w14:textId="77777777" w:rsidR="00C869C3" w:rsidRDefault="00C869C3"/>
    <w:sectPr w:rsidR="00C86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3FC31F"/>
    <w:multiLevelType w:val="singleLevel"/>
    <w:tmpl w:val="F73FC31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3E"/>
    <w:rsid w:val="000A02A2"/>
    <w:rsid w:val="0025233D"/>
    <w:rsid w:val="00381F94"/>
    <w:rsid w:val="003979FF"/>
    <w:rsid w:val="00687E52"/>
    <w:rsid w:val="007F6045"/>
    <w:rsid w:val="00B208B6"/>
    <w:rsid w:val="00B4629D"/>
    <w:rsid w:val="00C77F4A"/>
    <w:rsid w:val="00C869C3"/>
    <w:rsid w:val="00E907AF"/>
    <w:rsid w:val="00F52FFB"/>
    <w:rsid w:val="00F6473E"/>
    <w:rsid w:val="3ED7217B"/>
    <w:rsid w:val="4BCE41B0"/>
    <w:rsid w:val="61BC76FC"/>
    <w:rsid w:val="67CE5DDA"/>
    <w:rsid w:val="73A34E7A"/>
    <w:rsid w:val="7464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E316B-2EE1-4515-80DA-D0E3D010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rzcgb1</dc:creator>
  <cp:lastModifiedBy>rzcgb1</cp:lastModifiedBy>
  <cp:revision>5</cp:revision>
  <cp:lastPrinted>2024-12-19T09:00:00Z</cp:lastPrinted>
  <dcterms:created xsi:type="dcterms:W3CDTF">2024-12-19T02:33:00Z</dcterms:created>
  <dcterms:modified xsi:type="dcterms:W3CDTF">2024-12-20T03:37:00Z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1E86D904D7124F6F9DDB867BB97ABE8A_12</vt:lpwstr>
  </property>
</Properties>
</file>