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7AE84">
      <w:pPr>
        <w:autoSpaceDE w:val="0"/>
        <w:spacing w:before="142" w:beforeLines="50" w:after="142" w:afterLines="50" w:line="336" w:lineRule="auto"/>
        <w:ind w:firstLine="723" w:firstLineChars="200"/>
        <w:jc w:val="center"/>
        <w:rPr>
          <w:rFonts w:hint="eastAsia" w:ascii="仿宋" w:hAnsi="仿宋" w:eastAsia="仿宋" w:cs="Times New Roman"/>
          <w:b/>
          <w:bCs/>
          <w:kern w:val="0"/>
          <w:sz w:val="36"/>
          <w:szCs w:val="36"/>
          <w:lang w:val="en-US" w:eastAsia="zh-CN"/>
        </w:rPr>
      </w:pPr>
      <w:r>
        <w:rPr>
          <w:rFonts w:ascii="仿宋" w:hAnsi="仿宋" w:eastAsia="仿宋" w:cs="Times New Roman"/>
          <w:b/>
          <w:bCs/>
          <w:kern w:val="0"/>
          <w:sz w:val="36"/>
          <w:szCs w:val="36"/>
        </w:rPr>
        <w:t>贵阳市妇幼保健院</w:t>
      </w:r>
      <w:r>
        <w:rPr>
          <w:rFonts w:hint="eastAsia" w:ascii="仿宋" w:hAnsi="仿宋" w:eastAsia="仿宋" w:cs="Times New Roman"/>
          <w:b/>
          <w:bCs/>
          <w:kern w:val="0"/>
          <w:sz w:val="36"/>
          <w:szCs w:val="36"/>
          <w:lang w:val="en-US" w:eastAsia="zh-CN"/>
        </w:rPr>
        <w:t>尿动力测压管</w:t>
      </w:r>
    </w:p>
    <w:p w14:paraId="5633651B">
      <w:pPr>
        <w:autoSpaceDE w:val="0"/>
        <w:spacing w:before="142" w:beforeLines="50" w:after="142" w:afterLines="50" w:line="336" w:lineRule="auto"/>
        <w:ind w:firstLine="723" w:firstLineChars="200"/>
        <w:jc w:val="center"/>
        <w:rPr>
          <w:rFonts w:hint="eastAsia" w:ascii="仿宋" w:hAnsi="仿宋" w:eastAsia="仿宋" w:cs="Times New Roman"/>
          <w:b/>
          <w:bCs/>
          <w:kern w:val="0"/>
          <w:sz w:val="36"/>
          <w:szCs w:val="36"/>
        </w:rPr>
      </w:pPr>
      <w:r>
        <w:rPr>
          <w:rFonts w:hint="eastAsia" w:ascii="仿宋" w:hAnsi="仿宋" w:eastAsia="仿宋" w:cs="Times New Roman"/>
          <w:b/>
          <w:bCs/>
          <w:kern w:val="0"/>
          <w:sz w:val="36"/>
          <w:szCs w:val="36"/>
          <w:lang w:val="en-US" w:eastAsia="zh-CN"/>
        </w:rPr>
        <w:t>遴选</w:t>
      </w:r>
      <w:r>
        <w:rPr>
          <w:rFonts w:ascii="仿宋" w:hAnsi="仿宋" w:eastAsia="仿宋" w:cs="Times New Roman"/>
          <w:b/>
          <w:bCs/>
          <w:kern w:val="0"/>
          <w:sz w:val="36"/>
          <w:szCs w:val="36"/>
        </w:rPr>
        <w:t>需求</w:t>
      </w:r>
    </w:p>
    <w:p w14:paraId="2ED56B29">
      <w:pPr>
        <w:autoSpaceDE w:val="0"/>
        <w:spacing w:before="142" w:beforeLines="50" w:after="142" w:afterLines="50" w:line="336" w:lineRule="auto"/>
        <w:ind w:firstLine="562" w:firstLineChars="200"/>
        <w:rPr>
          <w:rFonts w:ascii="仿宋" w:hAnsi="仿宋" w:eastAsia="仿宋" w:cs="Times New Roman"/>
          <w:b/>
          <w:sz w:val="28"/>
          <w:szCs w:val="28"/>
        </w:rPr>
      </w:pPr>
    </w:p>
    <w:p w14:paraId="5FF3A488">
      <w:pPr>
        <w:autoSpaceDE w:val="0"/>
        <w:spacing w:before="142" w:beforeLines="50" w:after="142" w:afterLines="50" w:line="336" w:lineRule="auto"/>
        <w:rPr>
          <w:rFonts w:hint="eastAsia" w:ascii="仿宋" w:hAnsi="仿宋" w:eastAsia="仿宋" w:cs="Times New Roman"/>
          <w:b/>
          <w:sz w:val="28"/>
          <w:szCs w:val="28"/>
        </w:rPr>
      </w:pPr>
      <w:r>
        <w:rPr>
          <w:rFonts w:hint="eastAsia" w:ascii="仿宋" w:hAnsi="仿宋" w:eastAsia="仿宋" w:cs="Times New Roman"/>
          <w:b/>
          <w:sz w:val="28"/>
          <w:szCs w:val="28"/>
        </w:rPr>
        <w:t>一、项目概述</w:t>
      </w:r>
    </w:p>
    <w:p w14:paraId="46B34449">
      <w:pPr>
        <w:autoSpaceDE w:val="0"/>
        <w:spacing w:before="285" w:beforeLines="100" w:after="142" w:afterLines="50" w:line="336" w:lineRule="auto"/>
        <w:rPr>
          <w:rFonts w:ascii="仿宋" w:hAnsi="仿宋" w:eastAsia="仿宋" w:cs="Times New Roman"/>
          <w:b/>
          <w:sz w:val="28"/>
          <w:szCs w:val="28"/>
        </w:rPr>
      </w:pPr>
      <w:r>
        <w:rPr>
          <w:rFonts w:hint="eastAsia" w:ascii="仿宋" w:hAnsi="仿宋" w:eastAsia="仿宋" w:cs="Times New Roman"/>
          <w:b/>
          <w:sz w:val="28"/>
          <w:szCs w:val="28"/>
        </w:rPr>
        <w:t>1.项目名称及采购期限：</w:t>
      </w:r>
    </w:p>
    <w:p w14:paraId="7EC8EDCF">
      <w:pPr>
        <w:autoSpaceDE w:val="0"/>
        <w:spacing w:before="285" w:beforeLines="100" w:after="142" w:afterLines="50" w:line="336"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本项目为贵阳市妇幼保健院</w:t>
      </w:r>
      <w:r>
        <w:rPr>
          <w:rFonts w:hint="eastAsia" w:ascii="仿宋" w:hAnsi="仿宋" w:eastAsia="仿宋" w:cs="Times New Roman"/>
          <w:sz w:val="28"/>
          <w:szCs w:val="28"/>
          <w:lang w:val="en-US" w:eastAsia="zh-CN"/>
        </w:rPr>
        <w:t>医用尿动力测压管（含直肠测压导管及尿道测压导管两个品种）采购</w:t>
      </w:r>
      <w:r>
        <w:rPr>
          <w:rFonts w:hint="eastAsia" w:ascii="仿宋" w:hAnsi="仿宋" w:eastAsia="仿宋" w:cs="Times New Roman"/>
          <w:sz w:val="28"/>
          <w:szCs w:val="28"/>
        </w:rPr>
        <w:t>。</w:t>
      </w:r>
    </w:p>
    <w:p w14:paraId="4D0911CF">
      <w:pPr>
        <w:autoSpaceDE w:val="0"/>
        <w:spacing w:before="285" w:beforeLines="100" w:after="142" w:afterLines="50" w:line="336"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采购期限为一年。</w:t>
      </w:r>
    </w:p>
    <w:p w14:paraId="4CF67F20">
      <w:pPr>
        <w:autoSpaceDE w:val="0"/>
        <w:spacing w:before="285" w:beforeLines="100" w:after="142" w:afterLines="50" w:line="336" w:lineRule="auto"/>
        <w:rPr>
          <w:rFonts w:ascii="仿宋" w:hAnsi="仿宋" w:eastAsia="仿宋" w:cs="Times New Roman"/>
          <w:b/>
          <w:sz w:val="28"/>
          <w:szCs w:val="28"/>
        </w:rPr>
      </w:pPr>
      <w:r>
        <w:rPr>
          <w:rFonts w:hint="eastAsia" w:ascii="仿宋" w:hAnsi="仿宋" w:eastAsia="仿宋" w:cs="Times New Roman"/>
          <w:b/>
          <w:sz w:val="28"/>
          <w:szCs w:val="28"/>
        </w:rPr>
        <w:t>2、项目分包（品目）情况：</w:t>
      </w:r>
    </w:p>
    <w:p w14:paraId="76569D3D">
      <w:pPr>
        <w:autoSpaceDE w:val="0"/>
        <w:spacing w:before="285" w:beforeLines="100" w:after="142" w:afterLines="50" w:line="336" w:lineRule="auto"/>
        <w:ind w:firstLine="560" w:firstLineChars="200"/>
        <w:rPr>
          <w:rFonts w:hint="default"/>
          <w:lang w:val="en-US"/>
        </w:rPr>
      </w:pPr>
      <w:r>
        <w:rPr>
          <w:rFonts w:hint="eastAsia" w:ascii="仿宋" w:hAnsi="仿宋" w:eastAsia="仿宋" w:cs="Times New Roman"/>
          <w:sz w:val="28"/>
          <w:szCs w:val="28"/>
        </w:rPr>
        <w:t>本项目为</w:t>
      </w:r>
      <w:r>
        <w:rPr>
          <w:rFonts w:hint="eastAsia" w:ascii="仿宋" w:hAnsi="仿宋" w:eastAsia="仿宋" w:cs="Times New Roman"/>
          <w:sz w:val="28"/>
          <w:szCs w:val="28"/>
          <w:lang w:val="en-US" w:eastAsia="zh-CN"/>
        </w:rPr>
        <w:t>一</w:t>
      </w:r>
      <w:r>
        <w:rPr>
          <w:rFonts w:hint="eastAsia" w:ascii="仿宋" w:hAnsi="仿宋" w:eastAsia="仿宋" w:cs="Times New Roman"/>
          <w:sz w:val="28"/>
          <w:szCs w:val="28"/>
        </w:rPr>
        <w:t>个</w:t>
      </w:r>
      <w:r>
        <w:rPr>
          <w:rFonts w:hint="eastAsia" w:ascii="仿宋" w:hAnsi="仿宋" w:eastAsia="仿宋" w:cs="Times New Roman"/>
          <w:sz w:val="28"/>
          <w:szCs w:val="28"/>
          <w:lang w:val="en-US" w:eastAsia="zh-CN"/>
        </w:rPr>
        <w:t>采购</w:t>
      </w:r>
      <w:r>
        <w:rPr>
          <w:rFonts w:hint="eastAsia" w:ascii="仿宋" w:hAnsi="仿宋" w:eastAsia="仿宋" w:cs="Times New Roman"/>
          <w:sz w:val="28"/>
          <w:szCs w:val="28"/>
        </w:rPr>
        <w:t>品目进行采购，</w:t>
      </w:r>
      <w:r>
        <w:rPr>
          <w:rFonts w:hint="eastAsia" w:ascii="仿宋" w:hAnsi="仿宋" w:eastAsia="仿宋" w:cs="Times New Roman"/>
          <w:sz w:val="28"/>
          <w:szCs w:val="28"/>
          <w:lang w:val="en-US" w:eastAsia="zh-CN"/>
        </w:rPr>
        <w:t>品目内包含两个品种，即直肠测压导管和尿道测压导管。</w:t>
      </w:r>
      <w:r>
        <w:rPr>
          <w:rFonts w:hint="eastAsia" w:ascii="仿宋" w:hAnsi="仿宋" w:eastAsia="仿宋" w:cs="Times New Roman"/>
          <w:b/>
          <w:bCs/>
          <w:sz w:val="28"/>
          <w:szCs w:val="28"/>
          <w:lang w:val="en-US" w:eastAsia="zh-CN"/>
        </w:rPr>
        <w:t>不接受</w:t>
      </w:r>
      <w:r>
        <w:rPr>
          <w:rFonts w:hint="eastAsia" w:ascii="仿宋" w:hAnsi="仿宋" w:eastAsia="仿宋" w:cs="Times New Roman"/>
          <w:sz w:val="28"/>
          <w:szCs w:val="28"/>
          <w:lang w:val="en-US" w:eastAsia="zh-CN"/>
        </w:rPr>
        <w:t>投标商对其中之一品种进行投标。</w:t>
      </w:r>
    </w:p>
    <w:p w14:paraId="119C7228">
      <w:pPr>
        <w:numPr>
          <w:ilvl w:val="0"/>
          <w:numId w:val="0"/>
        </w:numPr>
        <w:tabs>
          <w:tab w:val="left" w:pos="521"/>
        </w:tabs>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w:t>
      </w:r>
      <w:r>
        <w:rPr>
          <w:rFonts w:hint="eastAsia" w:ascii="仿宋" w:hAnsi="仿宋" w:eastAsia="仿宋" w:cs="宋体"/>
          <w:b/>
          <w:color w:val="000000"/>
          <w:kern w:val="0"/>
          <w:sz w:val="28"/>
          <w:szCs w:val="28"/>
        </w:rPr>
        <w:t>采购</w:t>
      </w:r>
      <w:r>
        <w:rPr>
          <w:rFonts w:hint="eastAsia" w:ascii="仿宋" w:hAnsi="仿宋" w:eastAsia="仿宋" w:cs="宋体"/>
          <w:b/>
          <w:color w:val="000000"/>
          <w:kern w:val="0"/>
          <w:sz w:val="28"/>
          <w:szCs w:val="28"/>
          <w:lang w:val="en-US" w:eastAsia="zh-CN"/>
        </w:rPr>
        <w:t>预算</w:t>
      </w:r>
      <w:r>
        <w:rPr>
          <w:rFonts w:hint="eastAsia" w:ascii="仿宋" w:hAnsi="仿宋" w:eastAsia="仿宋" w:cs="宋体"/>
          <w:b/>
          <w:color w:val="000000"/>
          <w:kern w:val="0"/>
          <w:sz w:val="28"/>
          <w:szCs w:val="28"/>
        </w:rPr>
        <w:t>价格及</w:t>
      </w:r>
      <w:r>
        <w:rPr>
          <w:rFonts w:hint="eastAsia" w:ascii="仿宋" w:hAnsi="仿宋" w:eastAsia="仿宋" w:cs="宋体"/>
          <w:b/>
          <w:color w:val="000000"/>
          <w:kern w:val="0"/>
          <w:sz w:val="28"/>
          <w:szCs w:val="28"/>
          <w:lang w:val="en-US" w:eastAsia="zh-CN"/>
        </w:rPr>
        <w:t>采购</w:t>
      </w:r>
      <w:r>
        <w:rPr>
          <w:rFonts w:hint="eastAsia" w:ascii="仿宋" w:hAnsi="仿宋" w:eastAsia="仿宋" w:cs="宋体"/>
          <w:b/>
          <w:color w:val="000000"/>
          <w:kern w:val="0"/>
          <w:sz w:val="28"/>
          <w:szCs w:val="28"/>
        </w:rPr>
        <w:t>数量：</w:t>
      </w:r>
    </w:p>
    <w:p w14:paraId="38C27188">
      <w:pPr>
        <w:pStyle w:val="2"/>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直肠测压导管采购预算最高限价为280元/套；尿道测压导管采购预算最高限价为165元/套，投标报价不得超过该项最高限价。</w:t>
      </w:r>
    </w:p>
    <w:p w14:paraId="2E9B3716">
      <w:pPr>
        <w:ind w:firstLine="560" w:firstLineChars="200"/>
        <w:rPr>
          <w:rFonts w:hint="eastAsia" w:ascii="仿宋" w:hAnsi="仿宋" w:eastAsia="仿宋" w:cs="Arial"/>
          <w:sz w:val="28"/>
          <w:szCs w:val="28"/>
        </w:rPr>
      </w:pPr>
      <w:r>
        <w:rPr>
          <w:rFonts w:hint="eastAsia" w:ascii="仿宋" w:hAnsi="仿宋" w:eastAsia="仿宋" w:cs="宋体"/>
          <w:color w:val="000000"/>
          <w:kern w:val="0"/>
          <w:sz w:val="28"/>
          <w:szCs w:val="28"/>
        </w:rPr>
        <w:t>投标人按下浮后成交价格向采购人供应成交品目内耗材试剂，合同期内成交供应商不得擅自上调供货价格；</w:t>
      </w:r>
      <w:r>
        <w:rPr>
          <w:rFonts w:hint="eastAsia" w:ascii="仿宋" w:hAnsi="仿宋" w:eastAsia="仿宋" w:cs="宋体"/>
          <w:bCs/>
          <w:color w:val="000000"/>
          <w:kern w:val="0"/>
          <w:sz w:val="28"/>
          <w:szCs w:val="28"/>
        </w:rPr>
        <w:t>本项目品目内试剂耗材采用供应商固定单价按采购人需求供货的形式，具体购买数量以采购人订单为准，如采购人对上述品目无使用需求，可以不向供应商发送订单， 不向供应商进行采购。采购人不保证所有供应商每年的订单量。</w:t>
      </w:r>
    </w:p>
    <w:p w14:paraId="00546EB9">
      <w:pPr>
        <w:numPr>
          <w:ilvl w:val="0"/>
          <w:numId w:val="1"/>
        </w:numPr>
        <w:autoSpaceDE w:val="0"/>
        <w:spacing w:before="142" w:beforeLines="50" w:after="142" w:afterLines="50" w:line="336" w:lineRule="auto"/>
        <w:rPr>
          <w:rFonts w:hint="eastAsia" w:ascii="仿宋" w:hAnsi="仿宋" w:eastAsia="仿宋" w:cs="Times New Roman"/>
          <w:b/>
          <w:sz w:val="28"/>
          <w:szCs w:val="28"/>
        </w:rPr>
      </w:pPr>
      <w:r>
        <w:rPr>
          <w:rFonts w:hint="eastAsia" w:ascii="仿宋" w:hAnsi="仿宋" w:eastAsia="仿宋" w:cs="Times New Roman"/>
          <w:b/>
          <w:sz w:val="28"/>
          <w:szCs w:val="28"/>
          <w:lang w:val="en-US" w:eastAsia="zh-CN"/>
        </w:rPr>
        <w:t>采购及</w:t>
      </w:r>
      <w:r>
        <w:rPr>
          <w:rFonts w:hint="eastAsia" w:ascii="仿宋" w:hAnsi="仿宋" w:eastAsia="仿宋" w:cs="Times New Roman"/>
          <w:b/>
          <w:sz w:val="28"/>
          <w:szCs w:val="28"/>
        </w:rPr>
        <w:t>报价方式：</w:t>
      </w:r>
    </w:p>
    <w:p w14:paraId="79B55147">
      <w:pPr>
        <w:numPr>
          <w:ilvl w:val="0"/>
          <w:numId w:val="0"/>
        </w:numPr>
        <w:autoSpaceDE w:val="0"/>
        <w:spacing w:before="142" w:beforeLines="50" w:after="142" w:afterLines="50" w:line="336"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本项目采取现场竞争性磋商方式进行采购。</w:t>
      </w:r>
    </w:p>
    <w:p w14:paraId="61A95462">
      <w:pPr>
        <w:numPr>
          <w:ilvl w:val="0"/>
          <w:numId w:val="0"/>
        </w:numPr>
        <w:autoSpaceDE w:val="0"/>
        <w:spacing w:before="142" w:beforeLines="50" w:after="142" w:afterLines="50" w:line="336" w:lineRule="auto"/>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投标人在磋商小组资格审查、实质性技术参数条款符合性审查通过的前提下，除在投标文件内进行第一次报价外，在磋商现场还需进行第二次书面报价，最终以第二次现场书面报价作为价格项评判依据。</w:t>
      </w:r>
    </w:p>
    <w:p w14:paraId="79FBC7AC">
      <w:pPr>
        <w:numPr>
          <w:ilvl w:val="0"/>
          <w:numId w:val="0"/>
        </w:numPr>
        <w:autoSpaceDE w:val="0"/>
        <w:spacing w:before="142" w:beforeLines="50" w:after="142" w:afterLines="50" w:line="336" w:lineRule="auto"/>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rPr>
        <w:t>本项目报价方式：</w:t>
      </w:r>
      <w:r>
        <w:rPr>
          <w:rFonts w:hint="eastAsia" w:ascii="仿宋" w:hAnsi="仿宋" w:eastAsia="仿宋" w:cs="Times New Roman"/>
          <w:sz w:val="28"/>
          <w:szCs w:val="28"/>
          <w:lang w:val="en-US" w:eastAsia="zh-CN"/>
        </w:rPr>
        <w:t>品目内两个品种</w:t>
      </w:r>
      <w:r>
        <w:rPr>
          <w:rFonts w:hint="eastAsia" w:ascii="仿宋" w:hAnsi="仿宋" w:eastAsia="仿宋" w:cs="Times New Roman"/>
          <w:sz w:val="28"/>
          <w:szCs w:val="28"/>
        </w:rPr>
        <w:t>采用</w:t>
      </w:r>
      <w:r>
        <w:rPr>
          <w:rFonts w:hint="eastAsia" w:ascii="仿宋" w:hAnsi="仿宋" w:eastAsia="仿宋" w:cs="Times New Roman"/>
          <w:b/>
          <w:sz w:val="28"/>
          <w:szCs w:val="28"/>
        </w:rPr>
        <w:t>“整体下浮率”</w:t>
      </w:r>
      <w:r>
        <w:rPr>
          <w:rFonts w:hint="eastAsia" w:ascii="仿宋" w:hAnsi="仿宋" w:eastAsia="仿宋" w:cs="Times New Roman"/>
          <w:sz w:val="28"/>
          <w:szCs w:val="28"/>
        </w:rPr>
        <w:t>报价方式，即所投品目内的</w:t>
      </w:r>
      <w:r>
        <w:rPr>
          <w:rFonts w:hint="eastAsia" w:ascii="仿宋" w:hAnsi="仿宋" w:eastAsia="仿宋" w:cs="Times New Roman"/>
          <w:sz w:val="28"/>
          <w:szCs w:val="28"/>
          <w:lang w:val="en-US" w:eastAsia="zh-CN"/>
        </w:rPr>
        <w:t>两个</w:t>
      </w:r>
      <w:r>
        <w:rPr>
          <w:rFonts w:hint="eastAsia" w:ascii="仿宋" w:hAnsi="仿宋" w:eastAsia="仿宋" w:cs="Times New Roman"/>
          <w:sz w:val="28"/>
          <w:szCs w:val="28"/>
        </w:rPr>
        <w:t>采购品种，投标人按照在采购人提供的预算单价基础上，报出相同的下浮率，作为</w:t>
      </w:r>
      <w:r>
        <w:rPr>
          <w:rFonts w:hint="eastAsia" w:ascii="仿宋" w:hAnsi="仿宋" w:eastAsia="仿宋" w:cs="Times New Roman"/>
          <w:sz w:val="28"/>
          <w:szCs w:val="28"/>
          <w:lang w:val="en-US" w:eastAsia="zh-CN"/>
        </w:rPr>
        <w:t>磋商</w:t>
      </w:r>
      <w:r>
        <w:rPr>
          <w:rFonts w:hint="eastAsia" w:ascii="仿宋" w:hAnsi="仿宋" w:eastAsia="仿宋" w:cs="Times New Roman"/>
          <w:sz w:val="28"/>
          <w:szCs w:val="28"/>
        </w:rPr>
        <w:t>小组价格项比选的依据</w:t>
      </w:r>
      <w:r>
        <w:rPr>
          <w:rFonts w:hint="eastAsia" w:ascii="仿宋" w:hAnsi="仿宋" w:eastAsia="仿宋" w:cs="Times New Roman"/>
          <w:sz w:val="28"/>
          <w:szCs w:val="28"/>
          <w:lang w:eastAsia="zh-CN"/>
        </w:rPr>
        <w:t>。</w:t>
      </w:r>
    </w:p>
    <w:p w14:paraId="0DA8354F">
      <w:pPr>
        <w:numPr>
          <w:ilvl w:val="0"/>
          <w:numId w:val="1"/>
        </w:numPr>
        <w:autoSpaceDE w:val="0"/>
        <w:spacing w:before="100" w:beforeAutospacing="1" w:after="100" w:afterAutospacing="1" w:line="336" w:lineRule="auto"/>
        <w:ind w:left="0" w:leftChars="0" w:firstLine="0" w:firstLineChars="0"/>
        <w:rPr>
          <w:rFonts w:hint="eastAsia" w:ascii="仿宋" w:hAnsi="仿宋" w:eastAsia="仿宋" w:cs="Times New Roman"/>
          <w:b/>
          <w:sz w:val="28"/>
          <w:szCs w:val="28"/>
        </w:rPr>
      </w:pPr>
      <w:r>
        <w:rPr>
          <w:rFonts w:hint="eastAsia" w:ascii="仿宋" w:hAnsi="仿宋" w:eastAsia="仿宋" w:cs="Times New Roman"/>
          <w:b/>
          <w:sz w:val="28"/>
          <w:szCs w:val="28"/>
        </w:rPr>
        <w:t>投标商资格条件</w:t>
      </w:r>
    </w:p>
    <w:p w14:paraId="7A5E60EC">
      <w:pPr>
        <w:numPr>
          <w:ilvl w:val="0"/>
          <w:numId w:val="0"/>
        </w:numPr>
        <w:autoSpaceDE w:val="0"/>
        <w:spacing w:before="100" w:beforeAutospacing="1" w:after="100" w:afterAutospacing="1" w:line="336" w:lineRule="auto"/>
        <w:ind w:leftChars="0" w:firstLine="560" w:firstLineChars="200"/>
        <w:rPr>
          <w:rFonts w:ascii="仿宋" w:hAnsi="仿宋" w:eastAsia="仿宋"/>
          <w:sz w:val="28"/>
          <w:szCs w:val="28"/>
        </w:rPr>
      </w:pPr>
      <w:r>
        <w:rPr>
          <w:rFonts w:hint="eastAsia" w:ascii="仿宋" w:hAnsi="仿宋" w:eastAsia="仿宋" w:cs="Arial"/>
          <w:sz w:val="28"/>
          <w:szCs w:val="28"/>
        </w:rPr>
        <w:t>投标人除应</w:t>
      </w:r>
      <w:r>
        <w:rPr>
          <w:rFonts w:hint="eastAsia" w:ascii="仿宋" w:hAnsi="仿宋" w:eastAsia="仿宋" w:cs="Arial"/>
          <w:b/>
          <w:bCs/>
          <w:sz w:val="28"/>
          <w:szCs w:val="28"/>
        </w:rPr>
        <w:t>具备《政府采购法》第二十二条资格条件</w:t>
      </w:r>
      <w:r>
        <w:rPr>
          <w:rFonts w:hint="eastAsia" w:ascii="仿宋" w:hAnsi="仿宋" w:eastAsia="仿宋" w:cs="Arial"/>
          <w:sz w:val="28"/>
          <w:szCs w:val="28"/>
        </w:rPr>
        <w:t>外，</w:t>
      </w:r>
      <w:r>
        <w:rPr>
          <w:rFonts w:hint="eastAsia" w:ascii="仿宋" w:hAnsi="仿宋" w:eastAsia="仿宋"/>
          <w:color w:val="333333"/>
          <w:sz w:val="28"/>
          <w:szCs w:val="28"/>
          <w:shd w:val="clear" w:color="auto" w:fill="FFFFFF"/>
        </w:rPr>
        <w:t>（1）投标产品属于医疗器械管理的产品且投标供应商为代理商的须提供《医疗器械经营企业许可证》（经营范围覆盖所投标产品）或医疗器械经营许可备案证明材料复印件；（2）投标产品属于医疗器械管理的产品须提供投标产品医疗器械注册证（含登记表（若有）等附件）复印件或医疗器械备案证书（凭证）复印件。</w:t>
      </w:r>
    </w:p>
    <w:p w14:paraId="33142335">
      <w:pPr>
        <w:pStyle w:val="4"/>
        <w:widowControl/>
        <w:shd w:val="clear" w:color="auto" w:fill="FFFFFF"/>
        <w:spacing w:before="0" w:beforeAutospacing="0" w:after="0" w:afterAutospacing="0"/>
        <w:ind w:left="-226" w:right="-226" w:firstLine="450"/>
        <w:rPr>
          <w:rFonts w:ascii="仿宋" w:hAnsi="仿宋" w:eastAsia="仿宋"/>
          <w:b/>
          <w:sz w:val="28"/>
          <w:szCs w:val="28"/>
          <w:shd w:val="clear" w:color="auto" w:fill="FFFFFF"/>
        </w:rPr>
      </w:pPr>
      <w:r>
        <w:rPr>
          <w:rFonts w:ascii="仿宋" w:hAnsi="仿宋" w:eastAsia="仿宋"/>
          <w:b/>
          <w:sz w:val="28"/>
          <w:szCs w:val="28"/>
          <w:shd w:val="clear" w:color="auto" w:fill="FFFFFF"/>
        </w:rPr>
        <w:t>6</w:t>
      </w:r>
      <w:r>
        <w:rPr>
          <w:rFonts w:hint="eastAsia" w:ascii="仿宋" w:hAnsi="仿宋" w:eastAsia="仿宋"/>
          <w:b/>
          <w:sz w:val="28"/>
          <w:szCs w:val="28"/>
          <w:shd w:val="clear" w:color="auto" w:fill="FFFFFF"/>
        </w:rPr>
        <w:t>.本项目</w:t>
      </w:r>
      <w:r>
        <w:rPr>
          <w:rFonts w:hint="eastAsia" w:ascii="仿宋" w:hAnsi="仿宋" w:eastAsia="仿宋"/>
          <w:b/>
          <w:sz w:val="28"/>
          <w:szCs w:val="28"/>
          <w:u w:val="single"/>
          <w:shd w:val="clear" w:color="auto" w:fill="FFFFFF"/>
        </w:rPr>
        <w:t>不接受</w:t>
      </w:r>
      <w:r>
        <w:rPr>
          <w:rFonts w:hint="eastAsia" w:ascii="仿宋" w:hAnsi="仿宋" w:eastAsia="仿宋"/>
          <w:b/>
          <w:sz w:val="28"/>
          <w:szCs w:val="28"/>
          <w:shd w:val="clear" w:color="auto" w:fill="FFFFFF"/>
        </w:rPr>
        <w:t>联合体投标。</w:t>
      </w:r>
    </w:p>
    <w:p w14:paraId="1B415FE7">
      <w:pPr>
        <w:pStyle w:val="4"/>
        <w:widowControl/>
        <w:shd w:val="clear" w:color="auto" w:fill="FFFFFF"/>
        <w:spacing w:before="0" w:beforeAutospacing="0" w:after="0" w:afterAutospacing="0"/>
        <w:ind w:right="-226"/>
        <w:rPr>
          <w:rFonts w:ascii="仿宋" w:hAnsi="仿宋" w:eastAsia="仿宋" w:cs="Arial"/>
          <w:sz w:val="28"/>
          <w:szCs w:val="28"/>
        </w:rPr>
      </w:pPr>
    </w:p>
    <w:p w14:paraId="434966A9">
      <w:pPr>
        <w:pStyle w:val="4"/>
        <w:widowControl/>
        <w:shd w:val="clear" w:color="auto" w:fill="FFFFFF"/>
        <w:spacing w:before="0" w:beforeAutospacing="0" w:after="0" w:afterAutospacing="0"/>
        <w:ind w:right="-226"/>
        <w:rPr>
          <w:rFonts w:ascii="仿宋" w:hAnsi="仿宋" w:eastAsia="仿宋" w:cs="宋体"/>
          <w:b/>
          <w:bCs/>
          <w:sz w:val="28"/>
          <w:szCs w:val="28"/>
        </w:rPr>
      </w:pPr>
      <w:r>
        <w:rPr>
          <w:rFonts w:ascii="仿宋" w:hAnsi="仿宋" w:eastAsia="仿宋" w:cs="Arial"/>
          <w:sz w:val="28"/>
          <w:szCs w:val="28"/>
        </w:rPr>
        <w:t>二、</w:t>
      </w:r>
      <w:r>
        <w:rPr>
          <w:rFonts w:hint="eastAsia" w:ascii="仿宋" w:hAnsi="仿宋" w:eastAsia="仿宋" w:cs="宋体"/>
          <w:b/>
          <w:bCs/>
          <w:sz w:val="28"/>
          <w:szCs w:val="28"/>
        </w:rPr>
        <w:t>采购品种技术参数需求</w:t>
      </w:r>
    </w:p>
    <w:p w14:paraId="355D87B5">
      <w:pPr>
        <w:jc w:val="both"/>
        <w:rPr>
          <w:rFonts w:hint="eastAsia" w:ascii="仿宋" w:hAnsi="仿宋" w:eastAsia="仿宋" w:cs="仿宋"/>
          <w:sz w:val="28"/>
          <w:szCs w:val="28"/>
          <w:lang w:eastAsia="zh-CN"/>
        </w:rPr>
      </w:pPr>
      <w:r>
        <w:rPr>
          <w:rFonts w:hint="eastAsia" w:ascii="仿宋" w:hAnsi="仿宋" w:eastAsia="仿宋" w:cs="仿宋"/>
          <w:sz w:val="28"/>
          <w:szCs w:val="28"/>
        </w:rPr>
        <w:t>尿动力测压管技术参数</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需提供产品说明书、注册技术文件或其它官方认可的佐证材料</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w:t>
      </w:r>
    </w:p>
    <w:p w14:paraId="797F92A1">
      <w:pPr>
        <w:pStyle w:val="2"/>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实质性响应参数</w:t>
      </w:r>
    </w:p>
    <w:p w14:paraId="4B5699E4">
      <w:pPr>
        <w:pStyle w:val="2"/>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1.1  适配于我院在用设备</w:t>
      </w:r>
      <w:r>
        <w:rPr>
          <w:rFonts w:hint="eastAsia" w:ascii="仿宋" w:hAnsi="仿宋" w:eastAsia="仿宋" w:cs="仿宋"/>
          <w:sz w:val="28"/>
          <w:szCs w:val="28"/>
        </w:rPr>
        <w:t>尿动力学分析仪</w:t>
      </w:r>
      <w:r>
        <w:rPr>
          <w:rFonts w:hint="eastAsia" w:ascii="仿宋" w:hAnsi="仿宋" w:eastAsia="仿宋" w:cs="仿宋"/>
          <w:sz w:val="28"/>
          <w:szCs w:val="28"/>
          <w:lang w:eastAsia="zh-CN"/>
        </w:rPr>
        <w:t>（</w:t>
      </w:r>
      <w:r>
        <w:rPr>
          <w:rFonts w:hint="eastAsia" w:ascii="仿宋" w:hAnsi="仿宋" w:eastAsia="仿宋" w:cs="仿宋"/>
          <w:sz w:val="28"/>
          <w:szCs w:val="28"/>
        </w:rPr>
        <w:t>Ni</w:t>
      </w:r>
      <w:r>
        <w:rPr>
          <w:rFonts w:hint="eastAsia" w:ascii="仿宋" w:hAnsi="仿宋" w:eastAsia="仿宋" w:cs="仿宋"/>
          <w:sz w:val="28"/>
          <w:szCs w:val="28"/>
          <w:lang w:val="en-US" w:eastAsia="zh-CN"/>
        </w:rPr>
        <w:t>d</w:t>
      </w:r>
      <w:r>
        <w:rPr>
          <w:rFonts w:hint="eastAsia" w:ascii="仿宋" w:hAnsi="仿宋" w:eastAsia="仿宋" w:cs="仿宋"/>
          <w:sz w:val="28"/>
          <w:szCs w:val="28"/>
        </w:rPr>
        <w:t>oc970A＋</w:t>
      </w:r>
      <w:r>
        <w:rPr>
          <w:rFonts w:hint="eastAsia" w:ascii="仿宋" w:hAnsi="仿宋" w:eastAsia="仿宋" w:cs="仿宋"/>
          <w:sz w:val="28"/>
          <w:szCs w:val="28"/>
          <w:lang w:eastAsia="zh-CN"/>
        </w:rPr>
        <w:t>）</w:t>
      </w:r>
      <w:r>
        <w:rPr>
          <w:rFonts w:hint="eastAsia" w:ascii="仿宋" w:hAnsi="仿宋" w:eastAsia="仿宋" w:cs="仿宋"/>
          <w:sz w:val="28"/>
          <w:szCs w:val="28"/>
        </w:rPr>
        <w:t>使用。</w:t>
      </w:r>
    </w:p>
    <w:p w14:paraId="22AE7665">
      <w:pPr>
        <w:pStyle w:val="2"/>
        <w:numPr>
          <w:ilvl w:val="0"/>
          <w:numId w:val="0"/>
        </w:numPr>
        <w:ind w:firstLine="280" w:firstLineChars="100"/>
        <w:rPr>
          <w:rFonts w:hint="eastAsia" w:ascii="仿宋" w:hAnsi="仿宋" w:eastAsia="仿宋" w:cs="仿宋"/>
          <w:sz w:val="28"/>
          <w:szCs w:val="28"/>
          <w:lang w:val="en-US"/>
        </w:rPr>
      </w:pPr>
      <w:r>
        <w:rPr>
          <w:rFonts w:hint="eastAsia" w:ascii="仿宋" w:hAnsi="仿宋" w:eastAsia="仿宋" w:cs="仿宋"/>
          <w:sz w:val="28"/>
          <w:szCs w:val="28"/>
        </w:rPr>
        <w:t>*</w:t>
      </w:r>
      <w:r>
        <w:rPr>
          <w:rFonts w:hint="eastAsia" w:ascii="仿宋" w:hAnsi="仿宋" w:eastAsia="仿宋" w:cs="仿宋"/>
          <w:sz w:val="28"/>
          <w:szCs w:val="28"/>
          <w:lang w:val="en-US" w:eastAsia="zh-CN"/>
        </w:rPr>
        <w:t>1.2  有有效的医疗器械注册证或备案许可证</w:t>
      </w:r>
    </w:p>
    <w:p w14:paraId="1D479DAA">
      <w:pPr>
        <w:pStyle w:val="2"/>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尿道测压导管</w:t>
      </w:r>
    </w:p>
    <w:p w14:paraId="24CAE36B">
      <w:pPr>
        <w:ind w:firstLine="280" w:firstLineChars="100"/>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2.1  用途：产品与尿动力学分析仪相连，进行膀胱内压力测量、尿道内压力测量。</w:t>
      </w:r>
    </w:p>
    <w:p w14:paraId="2EBDD7DB">
      <w:pPr>
        <w:pStyle w:val="2"/>
        <w:ind w:firstLine="280" w:firstLineChars="100"/>
        <w:rPr>
          <w:rFonts w:hint="eastAsia" w:ascii="仿宋" w:hAnsi="仿宋" w:eastAsia="仿宋" w:cs="仿宋"/>
          <w:sz w:val="28"/>
          <w:szCs w:val="28"/>
        </w:rPr>
      </w:pPr>
      <w:r>
        <w:rPr>
          <w:rFonts w:hint="eastAsia" w:ascii="仿宋" w:hAnsi="仿宋" w:eastAsia="仿宋" w:cs="仿宋"/>
          <w:kern w:val="2"/>
          <w:sz w:val="28"/>
          <w:szCs w:val="28"/>
          <w:lang w:val="en-US" w:eastAsia="zh-CN" w:bidi="ar"/>
        </w:rPr>
        <w:t>2.2  结构组成：产品由双腔管组件、Y型三通等组成</w:t>
      </w:r>
    </w:p>
    <w:p w14:paraId="4D8882BA">
      <w:pPr>
        <w:ind w:firstLine="280" w:firstLineChars="1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.3  </w:t>
      </w:r>
      <w:r>
        <w:rPr>
          <w:rFonts w:hint="eastAsia" w:ascii="仿宋" w:hAnsi="仿宋" w:eastAsia="仿宋" w:cs="仿宋"/>
          <w:sz w:val="28"/>
          <w:szCs w:val="28"/>
        </w:rPr>
        <w:t>尿道测压导管应能承受30kPa气压（或306cm水柱）并保压15s内不破裂。</w:t>
      </w:r>
    </w:p>
    <w:p w14:paraId="3A42F5AA">
      <w:pPr>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2.4  </w:t>
      </w:r>
      <w:r>
        <w:rPr>
          <w:rFonts w:hint="eastAsia" w:ascii="仿宋" w:hAnsi="仿宋" w:eastAsia="仿宋" w:cs="仿宋"/>
          <w:sz w:val="28"/>
          <w:szCs w:val="28"/>
        </w:rPr>
        <w:t>传递范围：0-195cm水柱，误差：±5cm；</w:t>
      </w:r>
    </w:p>
    <w:p w14:paraId="738983DA">
      <w:pPr>
        <w:ind w:firstLine="280" w:firstLineChars="1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2.5  </w:t>
      </w:r>
      <w:r>
        <w:rPr>
          <w:rFonts w:hint="eastAsia" w:ascii="仿宋" w:hAnsi="仿宋" w:eastAsia="仿宋" w:cs="仿宋"/>
          <w:sz w:val="28"/>
          <w:szCs w:val="28"/>
        </w:rPr>
        <w:t>尿道测压导管传递准确性：导管传递的压力误差应≤5%。</w:t>
      </w:r>
    </w:p>
    <w:p w14:paraId="51A23491">
      <w:pPr>
        <w:ind w:firstLine="280" w:firstLineChars="1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2.6  </w:t>
      </w:r>
      <w:r>
        <w:rPr>
          <w:rFonts w:hint="eastAsia" w:ascii="仿宋" w:hAnsi="仿宋" w:eastAsia="仿宋" w:cs="仿宋"/>
          <w:sz w:val="28"/>
          <w:szCs w:val="28"/>
        </w:rPr>
        <w:t>传递灵敏度：传递灵敏度应≤0.01 kPa。</w:t>
      </w:r>
    </w:p>
    <w:p w14:paraId="2B294C6E">
      <w:pPr>
        <w:rPr>
          <w:rFonts w:hint="eastAsia" w:ascii="仿宋" w:hAnsi="仿宋" w:eastAsia="仿宋" w:cs="仿宋"/>
          <w:sz w:val="28"/>
          <w:szCs w:val="28"/>
        </w:rPr>
      </w:pPr>
      <w:r>
        <w:rPr>
          <w:rFonts w:hint="eastAsia" w:ascii="仿宋" w:hAnsi="仿宋" w:eastAsia="仿宋" w:cs="仿宋"/>
          <w:sz w:val="28"/>
          <w:szCs w:val="28"/>
          <w:lang w:val="en-US" w:eastAsia="zh-CN"/>
        </w:rPr>
        <w:t xml:space="preserve">3  </w:t>
      </w:r>
      <w:r>
        <w:rPr>
          <w:rFonts w:hint="eastAsia" w:ascii="仿宋" w:hAnsi="仿宋" w:eastAsia="仿宋" w:cs="仿宋"/>
          <w:sz w:val="28"/>
          <w:szCs w:val="28"/>
        </w:rPr>
        <w:t xml:space="preserve"> 直肠测压导管</w:t>
      </w:r>
    </w:p>
    <w:p w14:paraId="39DA426D">
      <w:pPr>
        <w:ind w:firstLine="280" w:firstLineChars="100"/>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3.1  用途：该导管通过管路与尿动力学分析仪相连，进行直肠压力（腹压）测量。</w:t>
      </w:r>
    </w:p>
    <w:p w14:paraId="6A670981">
      <w:pPr>
        <w:pStyle w:val="2"/>
        <w:ind w:firstLine="280" w:firstLineChars="1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
        </w:rPr>
        <w:t>3.2  结构组成：由压力传递管、球囊、分支器、连接管、测压管、接头等组成</w:t>
      </w:r>
    </w:p>
    <w:p w14:paraId="39BE68E6">
      <w:pPr>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3.3  </w:t>
      </w:r>
      <w:r>
        <w:rPr>
          <w:rFonts w:hint="eastAsia" w:ascii="仿宋" w:hAnsi="仿宋" w:eastAsia="仿宋" w:cs="仿宋"/>
          <w:sz w:val="28"/>
          <w:szCs w:val="28"/>
        </w:rPr>
        <w:t>连接强度：粘接部位在承受0.5kg的拉力下保持15s，应不得松动和开裂。</w:t>
      </w:r>
    </w:p>
    <w:p w14:paraId="436EE231">
      <w:pPr>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3.4  </w:t>
      </w:r>
      <w:r>
        <w:rPr>
          <w:rFonts w:hint="eastAsia" w:ascii="仿宋" w:hAnsi="仿宋" w:eastAsia="仿宋" w:cs="仿宋"/>
          <w:sz w:val="28"/>
          <w:szCs w:val="28"/>
        </w:rPr>
        <w:t>气密性：直肠测压导管注入8～10ml空气应不泄漏。</w:t>
      </w:r>
    </w:p>
    <w:p w14:paraId="24A0104A">
      <w:pPr>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3.5  </w:t>
      </w:r>
      <w:r>
        <w:rPr>
          <w:rFonts w:hint="eastAsia" w:ascii="仿宋" w:hAnsi="仿宋" w:eastAsia="仿宋" w:cs="仿宋"/>
          <w:sz w:val="28"/>
          <w:szCs w:val="28"/>
        </w:rPr>
        <w:t>传递范围：0～195cmH2O，误差：±5cm。（注：0点时误差为±1cm）</w:t>
      </w:r>
    </w:p>
    <w:p w14:paraId="29A28F38">
      <w:pPr>
        <w:ind w:firstLine="280" w:firstLineChars="1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3.6  </w:t>
      </w:r>
      <w:r>
        <w:rPr>
          <w:rFonts w:hint="eastAsia" w:ascii="仿宋" w:hAnsi="仿宋" w:eastAsia="仿宋" w:cs="仿宋"/>
          <w:sz w:val="28"/>
          <w:szCs w:val="28"/>
        </w:rPr>
        <w:t>直肠测压导管传递准确性：导管传递的压力误差应≤2%。</w:t>
      </w:r>
    </w:p>
    <w:p w14:paraId="7FCFF10C">
      <w:pPr>
        <w:ind w:firstLine="280" w:firstLineChars="1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3.7  </w:t>
      </w:r>
      <w:r>
        <w:rPr>
          <w:rFonts w:hint="eastAsia" w:ascii="仿宋" w:hAnsi="仿宋" w:eastAsia="仿宋" w:cs="仿宋"/>
          <w:sz w:val="28"/>
          <w:szCs w:val="28"/>
        </w:rPr>
        <w:t>传递灵敏度：传递灵敏度应≤0.005kPa。</w:t>
      </w:r>
    </w:p>
    <w:p w14:paraId="1EED0AEC">
      <w:pPr>
        <w:pStyle w:val="2"/>
        <w:rPr>
          <w:rFonts w:hint="default" w:eastAsia="仿宋"/>
          <w:lang w:val="en-US" w:eastAsia="zh-CN"/>
        </w:rPr>
      </w:pPr>
      <w:r>
        <w:rPr>
          <w:rFonts w:hint="eastAsia" w:ascii="仿宋" w:hAnsi="仿宋" w:eastAsia="仿宋" w:cs="仿宋"/>
          <w:sz w:val="28"/>
          <w:szCs w:val="28"/>
          <w:lang w:val="en-US" w:eastAsia="zh-CN"/>
        </w:rPr>
        <w:t>4  产品包装符合医疗器械包装要求，生产及有效期等标识清楚并在有效期内，随货提供产品说明书、合格证等相关资料。</w:t>
      </w:r>
    </w:p>
    <w:p w14:paraId="10568565">
      <w:pPr>
        <w:widowControl/>
        <w:spacing w:before="100" w:beforeAutospacing="1" w:after="100" w:afterAutospacing="1" w:line="360" w:lineRule="auto"/>
        <w:jc w:val="left"/>
        <w:rPr>
          <w:rFonts w:hint="eastAsia" w:ascii="仿宋" w:hAnsi="仿宋" w:eastAsia="仿宋" w:cs="Times New Roman"/>
          <w:b/>
          <w:color w:val="000000"/>
          <w:kern w:val="0"/>
          <w:sz w:val="28"/>
          <w:szCs w:val="28"/>
          <w:lang w:eastAsia="zh-CN"/>
        </w:rPr>
      </w:pPr>
      <w:r>
        <w:rPr>
          <w:rFonts w:hint="eastAsia" w:ascii="仿宋" w:hAnsi="仿宋" w:eastAsia="仿宋" w:cs="Times New Roman"/>
          <w:b/>
          <w:color w:val="000000"/>
          <w:kern w:val="0"/>
          <w:sz w:val="28"/>
          <w:szCs w:val="28"/>
        </w:rPr>
        <w:t>三、商务要求</w:t>
      </w:r>
      <w:r>
        <w:rPr>
          <w:rFonts w:hint="eastAsia" w:ascii="仿宋" w:hAnsi="仿宋" w:eastAsia="仿宋" w:cs="Times New Roman"/>
          <w:b/>
          <w:color w:val="000000"/>
          <w:kern w:val="0"/>
          <w:sz w:val="28"/>
          <w:szCs w:val="28"/>
          <w:lang w:eastAsia="zh-CN"/>
        </w:rPr>
        <w:t>（</w:t>
      </w:r>
      <w:r>
        <w:rPr>
          <w:rFonts w:hint="eastAsia" w:ascii="仿宋" w:hAnsi="仿宋" w:eastAsia="仿宋" w:cs="Times New Roman"/>
          <w:b/>
          <w:color w:val="000000"/>
          <w:kern w:val="0"/>
          <w:sz w:val="28"/>
          <w:szCs w:val="28"/>
          <w:lang w:val="en-US" w:eastAsia="zh-CN"/>
        </w:rPr>
        <w:t>提供商务服务完全响应承诺书或响应文件</w:t>
      </w:r>
      <w:r>
        <w:rPr>
          <w:rFonts w:hint="eastAsia" w:ascii="仿宋" w:hAnsi="仿宋" w:eastAsia="仿宋" w:cs="Times New Roman"/>
          <w:b/>
          <w:color w:val="000000"/>
          <w:kern w:val="0"/>
          <w:sz w:val="28"/>
          <w:szCs w:val="28"/>
          <w:lang w:eastAsia="zh-CN"/>
        </w:rPr>
        <w:t>）</w:t>
      </w:r>
    </w:p>
    <w:p w14:paraId="0B81D9BF">
      <w:pPr>
        <w:rPr>
          <w:rFonts w:ascii="仿宋" w:hAnsi="仿宋" w:eastAsia="仿宋" w:cs="Times New Roman"/>
          <w:b/>
          <w:color w:val="000000"/>
          <w:kern w:val="0"/>
          <w:sz w:val="28"/>
          <w:szCs w:val="28"/>
        </w:rPr>
      </w:pPr>
      <w:r>
        <w:rPr>
          <w:rFonts w:hint="eastAsia" w:ascii="仿宋" w:hAnsi="仿宋" w:eastAsia="仿宋" w:cs="Times New Roman"/>
          <w:b/>
          <w:color w:val="000000"/>
          <w:kern w:val="0"/>
          <w:sz w:val="28"/>
          <w:szCs w:val="28"/>
        </w:rPr>
        <w:t>1、采购变更（如有）</w:t>
      </w:r>
    </w:p>
    <w:p w14:paraId="2DC9CF32">
      <w:pPr>
        <w:ind w:firstLine="560" w:firstLineChars="200"/>
        <w:rPr>
          <w:rFonts w:ascii="仿宋" w:hAnsi="仿宋" w:eastAsia="仿宋" w:cs="Arial"/>
          <w:sz w:val="28"/>
          <w:szCs w:val="28"/>
        </w:rPr>
      </w:pPr>
      <w:r>
        <w:rPr>
          <w:rFonts w:ascii="仿宋" w:hAnsi="仿宋" w:eastAsia="仿宋" w:cs="Times New Roman"/>
          <w:sz w:val="28"/>
          <w:szCs w:val="28"/>
        </w:rPr>
        <w:t>本</w:t>
      </w:r>
      <w:r>
        <w:rPr>
          <w:rFonts w:hint="eastAsia" w:ascii="仿宋" w:hAnsi="仿宋" w:eastAsia="仿宋" w:cs="Times New Roman"/>
          <w:sz w:val="28"/>
          <w:szCs w:val="28"/>
        </w:rPr>
        <w:t>项目各品目内试剂耗材，成交后合同期内，如因其中单个或部分试剂耗材被纳入国家、贵州省、贵阳市医保目录集中采购或政府平台采购的，按其政策规定执行，本项目合同内关联产品供货自然终止，其它未关联产品仍按照合同执行供货。</w:t>
      </w:r>
    </w:p>
    <w:p w14:paraId="48C29B4E">
      <w:pPr>
        <w:widowControl/>
        <w:spacing w:before="100" w:beforeAutospacing="1" w:after="100" w:afterAutospacing="1" w:line="360" w:lineRule="auto"/>
        <w:jc w:val="left"/>
        <w:rPr>
          <w:rFonts w:hint="default" w:ascii="仿宋" w:hAnsi="仿宋" w:eastAsia="仿宋" w:cs="Times New Roman"/>
          <w:b/>
          <w:color w:val="000000"/>
          <w:kern w:val="0"/>
          <w:sz w:val="28"/>
          <w:szCs w:val="28"/>
          <w:lang w:val="en-US" w:eastAsia="zh-CN"/>
        </w:rPr>
      </w:pPr>
      <w:r>
        <w:rPr>
          <w:rFonts w:hint="eastAsia" w:ascii="仿宋" w:hAnsi="仿宋" w:eastAsia="仿宋" w:cs="Times New Roman"/>
          <w:b/>
          <w:color w:val="000000"/>
          <w:kern w:val="0"/>
          <w:sz w:val="28"/>
          <w:szCs w:val="28"/>
        </w:rPr>
        <w:t>2、采购合同期限</w:t>
      </w:r>
    </w:p>
    <w:p w14:paraId="304DF8BF">
      <w:pPr>
        <w:autoSpaceDE w:val="0"/>
        <w:spacing w:before="100" w:beforeAutospacing="1" w:line="360" w:lineRule="auto"/>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本项目采购合同有效期</w:t>
      </w:r>
      <w:r>
        <w:rPr>
          <w:rFonts w:hint="eastAsia" w:ascii="仿宋" w:hAnsi="仿宋" w:eastAsia="仿宋" w:cs="Times New Roman"/>
          <w:b/>
          <w:bCs/>
          <w:color w:val="000000"/>
          <w:sz w:val="28"/>
          <w:szCs w:val="28"/>
        </w:rPr>
        <w:t>自签订合同之日起</w:t>
      </w:r>
      <w:r>
        <w:rPr>
          <w:rFonts w:hint="eastAsia" w:ascii="仿宋" w:hAnsi="仿宋" w:eastAsia="仿宋" w:cs="Times New Roman"/>
          <w:b/>
          <w:bCs/>
          <w:color w:val="000000"/>
          <w:sz w:val="28"/>
          <w:szCs w:val="28"/>
          <w:lang w:val="en-US" w:eastAsia="zh-CN"/>
        </w:rPr>
        <w:t>一</w:t>
      </w:r>
      <w:r>
        <w:rPr>
          <w:rFonts w:hint="eastAsia" w:ascii="仿宋" w:hAnsi="仿宋" w:eastAsia="仿宋" w:cs="Times New Roman"/>
          <w:b/>
          <w:bCs/>
          <w:color w:val="000000"/>
          <w:sz w:val="28"/>
          <w:szCs w:val="28"/>
        </w:rPr>
        <w:t>年</w:t>
      </w:r>
      <w:r>
        <w:rPr>
          <w:rFonts w:hint="eastAsia" w:ascii="仿宋" w:hAnsi="仿宋" w:eastAsia="仿宋" w:cs="Times New Roman"/>
          <w:color w:val="000000"/>
          <w:sz w:val="28"/>
          <w:szCs w:val="28"/>
        </w:rPr>
        <w:t>。</w:t>
      </w:r>
    </w:p>
    <w:p w14:paraId="6098368F">
      <w:pPr>
        <w:autoSpaceDE w:val="0"/>
        <w:spacing w:before="100" w:beforeAutospacing="1" w:line="360" w:lineRule="auto"/>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合同期限内因国家政策发生变化，采购人需执行同类品目重新招采程序，供应商未响应或响应后未中标的，视为本合同已经提前到期。</w:t>
      </w:r>
    </w:p>
    <w:p w14:paraId="6D815341">
      <w:pPr>
        <w:autoSpaceDE w:val="0"/>
        <w:spacing w:before="100" w:beforeAutospacing="1" w:line="360"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（3）</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合同期内，供应商不得擅自更改成交耗材试剂的品牌、规格、型号等，确需变更的，必须以书面形式征得采购方同意，否则采购人有权解除本合同。</w:t>
      </w:r>
    </w:p>
    <w:p w14:paraId="3450690F">
      <w:pPr>
        <w:autoSpaceDE w:val="0"/>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ascii="仿宋" w:hAnsi="仿宋" w:eastAsia="仿宋" w:cs="Times New Roman"/>
          <w:color w:val="000000"/>
          <w:sz w:val="28"/>
          <w:szCs w:val="28"/>
        </w:rPr>
        <w:t>（</w:t>
      </w:r>
      <w:r>
        <w:rPr>
          <w:rFonts w:hint="eastAsia" w:ascii="仿宋" w:hAnsi="仿宋" w:eastAsia="仿宋" w:cs="Times New Roman"/>
          <w:color w:val="000000"/>
          <w:sz w:val="28"/>
          <w:szCs w:val="28"/>
        </w:rPr>
        <w:t>4</w:t>
      </w:r>
      <w:r>
        <w:rPr>
          <w:rFonts w:ascii="仿宋" w:hAnsi="仿宋" w:eastAsia="仿宋" w:cs="Times New Roman"/>
          <w:color w:val="000000"/>
          <w:sz w:val="28"/>
          <w:szCs w:val="28"/>
        </w:rPr>
        <w:t>）</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合同期内，未经采购人同意，供应商供货义务不得转让给第三人，否则，采购人可以单方解除本合同。本合同项下供应商收取货款的权利，未经采购人同意，不得转让。</w:t>
      </w:r>
    </w:p>
    <w:p w14:paraId="188D2287">
      <w:pPr>
        <w:widowControl/>
        <w:spacing w:before="100" w:beforeAutospacing="1" w:after="100" w:afterAutospacing="1" w:line="360" w:lineRule="auto"/>
        <w:jc w:val="left"/>
        <w:rPr>
          <w:rFonts w:hint="eastAsia" w:ascii="仿宋" w:hAnsi="仿宋" w:eastAsia="仿宋" w:cs="Times New Roman"/>
          <w:b/>
          <w:color w:val="000000"/>
          <w:kern w:val="0"/>
          <w:sz w:val="28"/>
          <w:szCs w:val="28"/>
        </w:rPr>
      </w:pPr>
      <w:r>
        <w:rPr>
          <w:rFonts w:hint="eastAsia" w:ascii="仿宋" w:hAnsi="仿宋" w:eastAsia="仿宋" w:cs="Times New Roman"/>
          <w:b/>
          <w:color w:val="000000"/>
          <w:kern w:val="0"/>
          <w:sz w:val="28"/>
          <w:szCs w:val="28"/>
        </w:rPr>
        <w:t>3、交货方式及地点</w:t>
      </w:r>
    </w:p>
    <w:p w14:paraId="4F5A29E7">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采购人应当以书面形式向供应商发送订单，书面形式包括纸质订单和数据电文（包括SPD平台、电子邮件、短信、微信、QQ）等可以有形地表现所载内容的形式。以数据电文订货的，电文发送成功之日为订单送达日，如电话通知则以供应商接通采购人订货电话之时起视为送达。如采购人当面口头或电话订单对有关种类、数量等内容通知不明确的，具体订货信息以数据电文内容为准。采购人以上述任意一种方式向供应商订货，视为采购人已经完成了订货及通知送达义务。自采购人通知送达之日起计算交货期。供应商应在响应文件内提供业务联系人员姓名、联系电话。供应商变更联系人时应于当日及时通知采购人。</w:t>
      </w:r>
    </w:p>
    <w:p w14:paraId="392431F3">
      <w:pPr>
        <w:widowControl/>
        <w:spacing w:before="100" w:beforeAutospacing="1" w:after="100" w:afterAutospacing="1" w:line="46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kern w:val="0"/>
          <w:sz w:val="28"/>
          <w:szCs w:val="28"/>
        </w:rPr>
        <w:t>（2）</w:t>
      </w:r>
      <w:r>
        <w:rPr>
          <w:rFonts w:hint="eastAsia" w:ascii="仿宋" w:hAnsi="仿宋" w:eastAsia="仿宋" w:cs="Times New Roman"/>
          <w:color w:val="000000"/>
          <w:sz w:val="28"/>
          <w:szCs w:val="28"/>
        </w:rPr>
        <w:t>供应商在收到采购人需求通知后免费送货到指定地点。</w:t>
      </w:r>
    </w:p>
    <w:p w14:paraId="10F0A454">
      <w:pPr>
        <w:widowControl/>
        <w:spacing w:before="100" w:beforeAutospacing="1" w:after="100" w:afterAutospacing="1" w:line="460" w:lineRule="exact"/>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en-US" w:eastAsia="zh-CN"/>
        </w:rPr>
        <w:t>3</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供应商应在采购人下达的采购计划48小时内供货到位，临时采购计划在规定的时间内供货，急救和特殊采购的应在4小时内送达。</w:t>
      </w:r>
    </w:p>
    <w:p w14:paraId="1B04A834">
      <w:pPr>
        <w:widowControl/>
        <w:spacing w:before="100" w:beforeAutospacing="1" w:after="100" w:afterAutospacing="1" w:line="460" w:lineRule="exact"/>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en-US" w:eastAsia="zh-CN"/>
        </w:rPr>
        <w:t>4</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供应商须备足货源，如采购人要求，节假日照常配送，不得因供货不及时影响采购人正常医疗工作。</w:t>
      </w:r>
    </w:p>
    <w:p w14:paraId="6E362F65">
      <w:pPr>
        <w:widowControl/>
        <w:spacing w:before="100" w:beforeAutospacing="1" w:after="100" w:afterAutospacing="1" w:line="460" w:lineRule="exact"/>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rPr>
        <w:t>4、包装及运输要求</w:t>
      </w:r>
    </w:p>
    <w:p w14:paraId="38A2EF58">
      <w:pPr>
        <w:widowControl/>
        <w:spacing w:before="100" w:beforeAutospacing="1" w:after="100" w:afterAutospacing="1" w:line="460" w:lineRule="exact"/>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供应商所出售的全部货物均应按标准保护措施进行包装，包装应适应于远距离运输、防潮、防震、防锈和防野蛮装卸等要求，由于包装防护措施不妥而引起的损坏、丢失由供应商负责。属于冷链运输的，应符合国家相关部门对冷链运输</w:t>
      </w:r>
      <w:r>
        <w:rPr>
          <w:rFonts w:hint="eastAsia" w:ascii="仿宋" w:hAnsi="仿宋" w:eastAsia="仿宋" w:cs="Times New Roman"/>
          <w:color w:val="000000"/>
          <w:sz w:val="28"/>
          <w:szCs w:val="28"/>
          <w:lang w:val="en-US" w:eastAsia="zh-CN"/>
        </w:rPr>
        <w:t>监管</w:t>
      </w:r>
      <w:r>
        <w:rPr>
          <w:rFonts w:hint="eastAsia" w:ascii="仿宋" w:hAnsi="仿宋" w:eastAsia="仿宋" w:cs="Times New Roman"/>
          <w:color w:val="000000"/>
          <w:sz w:val="28"/>
          <w:szCs w:val="28"/>
        </w:rPr>
        <w:t>标准和要求。</w:t>
      </w:r>
    </w:p>
    <w:p w14:paraId="36A7E5A8">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（2）供应商负责安排运输（送货上门）并承担运输相关费用，在途货物损耗、灭失风险归供应商承担。</w:t>
      </w:r>
    </w:p>
    <w:p w14:paraId="45E6924A">
      <w:pPr>
        <w:widowControl/>
        <w:autoSpaceDE w:val="0"/>
        <w:spacing w:before="100" w:beforeAutospacing="1" w:after="100" w:afterAutospacing="1" w:line="460" w:lineRule="exact"/>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（3）供应商应向采购人提交所提供货物的技术文件，包括相应的中文技术文件，如：品目目录、操作手册、使用说明、维护手册、服务指南、合格证、检测报告等等。上述文件应包装好随同货物一起发运。</w:t>
      </w:r>
    </w:p>
    <w:p w14:paraId="26415E55">
      <w:pPr>
        <w:spacing w:before="100" w:beforeAutospacing="1" w:after="100" w:afterAutospacing="1" w:line="360" w:lineRule="auto"/>
        <w:rPr>
          <w:rFonts w:hint="eastAsia" w:ascii="仿宋" w:hAnsi="仿宋" w:eastAsia="仿宋" w:cs="Times New Roman"/>
          <w:b/>
          <w:color w:val="000000"/>
          <w:sz w:val="28"/>
          <w:szCs w:val="28"/>
        </w:rPr>
      </w:pPr>
      <w:r>
        <w:rPr>
          <w:rFonts w:hint="eastAsia" w:ascii="仿宋" w:hAnsi="仿宋" w:eastAsia="仿宋" w:cs="Times New Roman"/>
          <w:b/>
          <w:bCs/>
          <w:color w:val="000000"/>
          <w:sz w:val="28"/>
          <w:szCs w:val="28"/>
        </w:rPr>
        <w:t>5、</w:t>
      </w:r>
      <w:r>
        <w:rPr>
          <w:rFonts w:hint="eastAsia" w:ascii="仿宋" w:hAnsi="仿宋" w:eastAsia="仿宋" w:cs="Times New Roman"/>
          <w:b/>
          <w:color w:val="000000"/>
          <w:sz w:val="28"/>
          <w:szCs w:val="28"/>
        </w:rPr>
        <w:t>医用耗材试剂验收及异议处置</w:t>
      </w:r>
    </w:p>
    <w:p w14:paraId="3916B912">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（1）采购人在收到供应商交付的货物后应当及时组织验收，并在采购人库房办理验收入库手续。</w:t>
      </w:r>
    </w:p>
    <w:p w14:paraId="695F7E6C">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采购人应在验收时当面提出货物的表面瑕疵，有异议的应及时提出。在验收过程中采购人发现厂家品种、规格、数量不符合合同规定的标准或采购计划的，或数量不足或有质量、技术等问题，供应商应负责按照采购人的要求采取补足、更换或退货等处理措施，并承担由此发生的一切费用和损失。</w:t>
      </w:r>
    </w:p>
    <w:p w14:paraId="1C20C385">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（3）采购人或上级主管部门需进行供应产品质量检验时，供应商应积极配合，产品质量检验的费用由供应商承担，如通过检验证明产品存在质量问题，供应商应承担一切后果。</w:t>
      </w:r>
    </w:p>
    <w:p w14:paraId="52C8965B">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（4）</w:t>
      </w:r>
      <w:r>
        <w:rPr>
          <w:rFonts w:hint="eastAsia" w:ascii="仿宋" w:hAnsi="仿宋" w:eastAsia="仿宋" w:cs="Times New Roman"/>
          <w:color w:val="000000"/>
          <w:sz w:val="28"/>
          <w:szCs w:val="28"/>
          <w:lang w:val="en-US" w:eastAsia="zh-CN"/>
        </w:rPr>
        <w:t>采</w:t>
      </w:r>
      <w:r>
        <w:rPr>
          <w:rFonts w:hint="eastAsia" w:ascii="仿宋" w:hAnsi="仿宋" w:eastAsia="仿宋" w:cs="Times New Roman"/>
          <w:color w:val="000000"/>
          <w:sz w:val="28"/>
          <w:szCs w:val="28"/>
        </w:rPr>
        <w:t>购人对质量标准、有效期、包装和订单数量不符合要求的产品，有权拒绝接收，供应商应对不符合要求的产品在接到通知后24小时内进行更换，不得影响采购人的临床应用。产品验收合格后使用，合同期内供应商应无条件为采购人更换已过期产品。</w:t>
      </w:r>
    </w:p>
    <w:p w14:paraId="09944D3E">
      <w:pPr>
        <w:spacing w:before="100" w:beforeAutospacing="1" w:after="100" w:afterAutospacing="1" w:line="360" w:lineRule="auto"/>
        <w:ind w:left="551" w:hanging="551" w:hangingChars="196"/>
        <w:rPr>
          <w:rFonts w:hint="eastAsia" w:ascii="仿宋" w:hAnsi="仿宋" w:eastAsia="仿宋" w:cs="Times New Roman"/>
          <w:b/>
          <w:color w:val="000000"/>
          <w:sz w:val="28"/>
          <w:szCs w:val="28"/>
        </w:rPr>
      </w:pPr>
      <w:r>
        <w:rPr>
          <w:rFonts w:hint="eastAsia" w:ascii="仿宋" w:hAnsi="仿宋" w:eastAsia="仿宋" w:cs="Times New Roman"/>
          <w:b/>
          <w:color w:val="000000"/>
          <w:sz w:val="28"/>
          <w:szCs w:val="28"/>
        </w:rPr>
        <w:t>6、付款方式</w:t>
      </w:r>
    </w:p>
    <w:p w14:paraId="647B8178">
      <w:pPr>
        <w:spacing w:before="100" w:beforeAutospacing="1" w:after="100" w:afterAutospacing="1" w:line="360" w:lineRule="auto"/>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在遵循正常供货流程且通过采购人验收合格后办理入库手续，供应商需开具符合采购人要求的发票。待采购人完成付款审核手续并将相关资料提交至财务部门后，自第三个月起进行付款。</w:t>
      </w:r>
    </w:p>
    <w:p w14:paraId="1D73635A">
      <w:pPr>
        <w:widowControl/>
        <w:spacing w:before="100" w:beforeAutospacing="1" w:after="100" w:afterAutospacing="1" w:line="360" w:lineRule="auto"/>
        <w:jc w:val="left"/>
        <w:rPr>
          <w:rFonts w:hint="eastAsia" w:ascii="仿宋" w:hAnsi="仿宋" w:eastAsia="仿宋" w:cs="Times New Roman"/>
          <w:color w:val="000000"/>
          <w:kern w:val="0"/>
          <w:sz w:val="28"/>
          <w:szCs w:val="28"/>
        </w:rPr>
      </w:pPr>
      <w:r>
        <w:rPr>
          <w:rFonts w:hint="eastAsia" w:ascii="仿宋" w:hAnsi="仿宋" w:eastAsia="仿宋" w:cs="Times New Roman"/>
          <w:b/>
          <w:color w:val="000000"/>
          <w:sz w:val="28"/>
          <w:szCs w:val="28"/>
        </w:rPr>
        <w:t>7、质量</w:t>
      </w:r>
      <w:r>
        <w:rPr>
          <w:rFonts w:hint="eastAsia" w:ascii="仿宋" w:hAnsi="仿宋" w:eastAsia="仿宋" w:cs="Times New Roman"/>
          <w:b/>
          <w:bCs/>
          <w:color w:val="000000"/>
          <w:sz w:val="28"/>
          <w:szCs w:val="28"/>
        </w:rPr>
        <w:t>及售后服务要求</w:t>
      </w:r>
    </w:p>
    <w:p w14:paraId="3FFD89F7">
      <w:pPr>
        <w:spacing w:before="100" w:beforeAutospacing="1" w:after="100" w:afterAutospacing="1" w:line="360" w:lineRule="auto"/>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供应商应保证货物为原厂生产并符合国家关于医用耗材的质量及卫生技术标准。采购人有权拒绝采购供应商未经授权、无注册证、合格证、授权过期及过期或临期、三无等情况的产品。医疗器械生产经营企业应提供售后服务，指导和配合采购人开展质量管理工作。</w:t>
      </w:r>
    </w:p>
    <w:p w14:paraId="3EF89858">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供应商应保证所供货物是全新的、未使用过的，并完全符合合同规定的质量、规格和性能的要求，符合国家相关标准。供应商应保证其品目在正常使用和保养条件下，在其使用寿命期内应具有满意的性能，或者没有因供应商的行为或疏忽而产生的缺陷。</w:t>
      </w:r>
    </w:p>
    <w:p w14:paraId="27279867">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在质量保证期内，如果货物的质量或规格与合同不符，或证实货物是有缺陷的，包括潜在的缺陷或使用不符合要求的材料等，采购人有权向供应商提出补救措施或索赔，供应商收到通知后应在2小时内响应，并以合理的速度免费更换。</w:t>
      </w:r>
    </w:p>
    <w:p w14:paraId="284DDCB4">
      <w:pPr>
        <w:autoSpaceDE w:val="0"/>
        <w:spacing w:before="100" w:beforeAutospacing="1" w:after="100" w:afterAutospacing="1" w:line="360"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（4）供应商在约定的时间内未能弥补缺陷，采购人可采取必要的补救措施，但其风险和费用将由供应商承担。</w:t>
      </w:r>
    </w:p>
    <w:p w14:paraId="6B33D946">
      <w:pPr>
        <w:autoSpaceDE w:val="0"/>
        <w:spacing w:before="100" w:beforeAutospacing="1" w:after="100" w:afterAutospacing="1" w:line="360" w:lineRule="auto"/>
        <w:ind w:firstLine="560" w:firstLineChars="200"/>
        <w:rPr>
          <w:rFonts w:hint="eastAsia" w:ascii="仿宋" w:hAnsi="仿宋" w:eastAsia="仿宋" w:cs="Times New Roman"/>
          <w:color w:val="000000"/>
          <w:sz w:val="28"/>
          <w:szCs w:val="28"/>
        </w:rPr>
      </w:pPr>
      <w:r>
        <w:rPr>
          <w:rFonts w:ascii="仿宋" w:hAnsi="仿宋" w:eastAsia="仿宋" w:cs="Times New Roman"/>
          <w:color w:val="000000"/>
          <w:sz w:val="28"/>
          <w:szCs w:val="28"/>
        </w:rPr>
        <w:t>（</w:t>
      </w:r>
      <w:r>
        <w:rPr>
          <w:rFonts w:hint="eastAsia" w:ascii="仿宋" w:hAnsi="仿宋" w:eastAsia="仿宋" w:cs="Times New Roman"/>
          <w:color w:val="000000"/>
          <w:sz w:val="28"/>
          <w:szCs w:val="28"/>
        </w:rPr>
        <w:t>5</w:t>
      </w:r>
      <w:r>
        <w:rPr>
          <w:rFonts w:ascii="仿宋" w:hAnsi="仿宋" w:eastAsia="仿宋" w:cs="Times New Roman"/>
          <w:color w:val="000000"/>
          <w:sz w:val="28"/>
          <w:szCs w:val="28"/>
        </w:rPr>
        <w:t>）</w:t>
      </w:r>
      <w:r>
        <w:rPr>
          <w:rFonts w:hint="eastAsia" w:ascii="仿宋" w:hAnsi="仿宋" w:eastAsia="仿宋" w:cs="Calibri"/>
          <w:color w:val="000000"/>
          <w:kern w:val="0"/>
          <w:sz w:val="28"/>
          <w:szCs w:val="28"/>
        </w:rPr>
        <w:t>供应商保证所供医用耗材为符合国家医用耗材质量标准的合格产品，确保临床医疗安全。在合同期内，若供应商向采购人提供的产品出现假冒伪劣等质量问题，由此产生的一切后果由供应商负责。</w:t>
      </w:r>
    </w:p>
    <w:p w14:paraId="51D4D386">
      <w:pPr>
        <w:spacing w:before="100" w:beforeAutospacing="1" w:after="100" w:afterAutospacing="1" w:line="360" w:lineRule="auto"/>
        <w:rPr>
          <w:rFonts w:hint="eastAsia" w:ascii="仿宋" w:hAnsi="仿宋" w:eastAsia="仿宋" w:cs="Times New Roman"/>
          <w:b/>
          <w:color w:val="000000"/>
          <w:kern w:val="0"/>
          <w:sz w:val="28"/>
          <w:szCs w:val="28"/>
        </w:rPr>
      </w:pPr>
      <w:r>
        <w:rPr>
          <w:rFonts w:hint="eastAsia" w:ascii="仿宋" w:hAnsi="仿宋" w:eastAsia="仿宋" w:cs="Times New Roman"/>
          <w:b/>
          <w:color w:val="000000"/>
          <w:sz w:val="28"/>
          <w:szCs w:val="28"/>
        </w:rPr>
        <w:t>8、</w:t>
      </w:r>
      <w:r>
        <w:rPr>
          <w:rFonts w:hint="eastAsia" w:ascii="仿宋" w:hAnsi="仿宋" w:eastAsia="仿宋" w:cs="Times New Roman"/>
          <w:b/>
          <w:color w:val="000000"/>
          <w:kern w:val="0"/>
          <w:sz w:val="28"/>
          <w:szCs w:val="28"/>
        </w:rPr>
        <w:t>资质保证</w:t>
      </w:r>
    </w:p>
    <w:p w14:paraId="60657DDA">
      <w:pPr>
        <w:spacing w:before="100" w:beforeAutospacing="1" w:after="100" w:afterAutospacing="1" w:line="360" w:lineRule="auto"/>
        <w:ind w:right="-313" w:rightChars="-149" w:firstLine="560" w:firstLineChars="200"/>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rPr>
        <w:t>（1）采购人提供的医用耗材必须符合国家医用耗材质量标准，并具有：①、医疗器械经营企业许可证；②、医疗器械注册证(含注册登记表)；③、医疗器械生产企业许可证；④、委托授权书（</w:t>
      </w:r>
      <w:r>
        <w:rPr>
          <w:rFonts w:hint="eastAsia" w:ascii="仿宋" w:hAnsi="仿宋" w:eastAsia="仿宋" w:cs="Times New Roman"/>
          <w:color w:val="000000"/>
          <w:sz w:val="28"/>
          <w:szCs w:val="28"/>
        </w:rPr>
        <w:t>厂家授权经销商的授权书必须覆盖本合同有效期或及时提供新的授权书，如果厂家取消销售授权，则合同内该产品终止供应。</w:t>
      </w:r>
      <w:r>
        <w:rPr>
          <w:rFonts w:hint="eastAsia" w:ascii="仿宋" w:hAnsi="仿宋" w:eastAsia="仿宋" w:cs="Times New Roman"/>
          <w:color w:val="000000"/>
          <w:kern w:val="0"/>
          <w:sz w:val="28"/>
          <w:szCs w:val="28"/>
        </w:rPr>
        <w:t>）；⑤、企业法人营业执照；⑥、组织机构代码证；⑦、税务登记证。供应商应当在合同签订之日将上述资料提供给采购人备案。</w:t>
      </w:r>
    </w:p>
    <w:p w14:paraId="7714FE72">
      <w:pPr>
        <w:autoSpaceDE w:val="0"/>
        <w:spacing w:before="100" w:beforeAutospacing="1" w:after="100" w:afterAutospacing="1" w:line="360" w:lineRule="auto"/>
        <w:ind w:firstLine="560" w:firstLineChars="200"/>
        <w:rPr>
          <w:rFonts w:ascii="仿宋" w:hAnsi="仿宋" w:eastAsia="仿宋" w:cs="Times New Roman"/>
          <w:bCs/>
          <w:color w:val="000000"/>
          <w:kern w:val="0"/>
          <w:sz w:val="28"/>
          <w:szCs w:val="28"/>
        </w:rPr>
      </w:pPr>
      <w:r>
        <w:rPr>
          <w:rFonts w:hint="eastAsia" w:ascii="仿宋" w:hAnsi="仿宋" w:eastAsia="仿宋" w:cs="Times New Roman"/>
          <w:bCs/>
          <w:color w:val="000000"/>
          <w:kern w:val="0"/>
          <w:sz w:val="28"/>
          <w:szCs w:val="28"/>
        </w:rPr>
        <w:t>（2）供应商所提供品目的有效期应不得少于品目整个有效期的三分之二，如遇特殊情况，需与采购人另行商定。若在有效期内出现质量问题，由供应商负责退货并承担因此而导致的经济和法律责任。</w:t>
      </w:r>
    </w:p>
    <w:p w14:paraId="00E1E419">
      <w:pPr>
        <w:autoSpaceDE w:val="0"/>
        <w:spacing w:before="100" w:beforeAutospacing="1" w:after="100" w:afterAutospacing="1" w:line="360" w:lineRule="auto"/>
        <w:ind w:firstLine="560" w:firstLineChars="200"/>
        <w:rPr>
          <w:rFonts w:hint="eastAsia" w:ascii="仿宋" w:hAnsi="仿宋" w:eastAsia="仿宋" w:cs="Calibri"/>
          <w:color w:val="000000"/>
          <w:kern w:val="0"/>
          <w:sz w:val="28"/>
          <w:szCs w:val="28"/>
        </w:rPr>
      </w:pPr>
      <w:r>
        <w:rPr>
          <w:rFonts w:ascii="仿宋" w:hAnsi="仿宋" w:eastAsia="仿宋" w:cs="Times New Roman"/>
          <w:bCs/>
          <w:color w:val="000000"/>
          <w:kern w:val="0"/>
          <w:sz w:val="28"/>
          <w:szCs w:val="28"/>
        </w:rPr>
        <w:t>（</w:t>
      </w:r>
      <w:r>
        <w:rPr>
          <w:rFonts w:hint="eastAsia" w:ascii="仿宋" w:hAnsi="仿宋" w:eastAsia="仿宋" w:cs="Times New Roman"/>
          <w:bCs/>
          <w:color w:val="000000"/>
          <w:kern w:val="0"/>
          <w:sz w:val="28"/>
          <w:szCs w:val="28"/>
        </w:rPr>
        <w:t>3</w:t>
      </w:r>
      <w:r>
        <w:rPr>
          <w:rFonts w:ascii="仿宋" w:hAnsi="仿宋" w:eastAsia="仿宋" w:cs="Times New Roman"/>
          <w:bCs/>
          <w:color w:val="000000"/>
          <w:kern w:val="0"/>
          <w:sz w:val="28"/>
          <w:szCs w:val="28"/>
        </w:rPr>
        <w:t>）</w:t>
      </w:r>
      <w:r>
        <w:rPr>
          <w:rFonts w:hint="eastAsia" w:ascii="仿宋" w:hAnsi="仿宋" w:eastAsia="仿宋" w:cs="Calibri"/>
          <w:color w:val="000000"/>
          <w:kern w:val="0"/>
          <w:sz w:val="28"/>
          <w:szCs w:val="28"/>
        </w:rPr>
        <w:t>供应商保证所供医用耗材的相关资质证照齐备、有效并符合《国家医疗器械监督管理条例》；相关资证到期前必须及时到采购人管理部门办理更新备案。</w:t>
      </w:r>
    </w:p>
    <w:p w14:paraId="0B3E9605">
      <w:pPr>
        <w:pStyle w:val="2"/>
        <w:rPr>
          <w:rFonts w:hint="eastAsia" w:ascii="仿宋" w:hAnsi="仿宋" w:eastAsia="仿宋" w:cs="Calibri"/>
          <w:color w:val="000000"/>
          <w:kern w:val="0"/>
          <w:sz w:val="28"/>
          <w:szCs w:val="28"/>
        </w:rPr>
      </w:pPr>
    </w:p>
    <w:p w14:paraId="75E5905C">
      <w:pPr>
        <w:pStyle w:val="2"/>
        <w:numPr>
          <w:ilvl w:val="0"/>
          <w:numId w:val="2"/>
        </w:numPr>
        <w:rPr>
          <w:rFonts w:hint="eastAsia" w:ascii="仿宋" w:hAnsi="仿宋" w:eastAsia="仿宋" w:cs="Calibri"/>
          <w:b/>
          <w:bCs/>
          <w:color w:val="000000"/>
          <w:kern w:val="0"/>
          <w:sz w:val="28"/>
          <w:szCs w:val="28"/>
          <w:lang w:val="en-US" w:eastAsia="zh-CN"/>
        </w:rPr>
      </w:pPr>
      <w:r>
        <w:rPr>
          <w:rFonts w:hint="eastAsia" w:ascii="仿宋" w:hAnsi="仿宋" w:eastAsia="仿宋" w:cs="Calibri"/>
          <w:b/>
          <w:bCs/>
          <w:color w:val="000000"/>
          <w:kern w:val="0"/>
          <w:sz w:val="28"/>
          <w:szCs w:val="28"/>
          <w:lang w:val="en-US" w:eastAsia="zh-CN"/>
        </w:rPr>
        <w:t>本项目磋商评分细则</w:t>
      </w:r>
    </w:p>
    <w:p w14:paraId="5BA39AF1">
      <w:pPr>
        <w:pStyle w:val="2"/>
        <w:widowControl w:val="0"/>
        <w:numPr>
          <w:ilvl w:val="0"/>
          <w:numId w:val="0"/>
        </w:numPr>
        <w:snapToGrid w:val="0"/>
        <w:jc w:val="left"/>
        <w:rPr>
          <w:rFonts w:hint="default" w:ascii="仿宋" w:hAnsi="仿宋" w:eastAsia="仿宋" w:cs="Calibri"/>
          <w:color w:val="000000"/>
          <w:kern w:val="0"/>
          <w:sz w:val="28"/>
          <w:szCs w:val="28"/>
          <w:lang w:val="en-US" w:eastAsia="zh-CN"/>
        </w:rPr>
      </w:pPr>
    </w:p>
    <w:tbl>
      <w:tblPr>
        <w:tblStyle w:val="5"/>
        <w:tblW w:w="8793" w:type="dxa"/>
        <w:tblInd w:w="201"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370"/>
        <w:gridCol w:w="767"/>
        <w:gridCol w:w="5900"/>
      </w:tblGrid>
      <w:tr w14:paraId="254B8E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756" w:type="dxa"/>
            <w:tcBorders>
              <w:top w:val="double" w:color="000000" w:sz="6" w:space="0"/>
              <w:right w:val="single" w:color="auto" w:sz="4" w:space="0"/>
            </w:tcBorders>
            <w:noWrap w:val="0"/>
            <w:vAlign w:val="center"/>
          </w:tcPr>
          <w:p w14:paraId="15E56FE6">
            <w:pPr>
              <w:keepNext w:val="0"/>
              <w:keepLines w:val="0"/>
              <w:pageBreakBefore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b/>
                <w:caps/>
                <w:color w:val="auto"/>
                <w:sz w:val="24"/>
                <w:szCs w:val="24"/>
                <w:highlight w:val="none"/>
              </w:rPr>
            </w:pPr>
            <w:r>
              <w:rPr>
                <w:rFonts w:hint="eastAsia" w:ascii="仿宋" w:hAnsi="仿宋" w:eastAsia="仿宋" w:cs="仿宋"/>
                <w:b/>
                <w:caps/>
                <w:color w:val="auto"/>
                <w:sz w:val="24"/>
                <w:szCs w:val="24"/>
                <w:highlight w:val="none"/>
              </w:rPr>
              <w:t>序号</w:t>
            </w:r>
          </w:p>
        </w:tc>
        <w:tc>
          <w:tcPr>
            <w:tcW w:w="1370" w:type="dxa"/>
            <w:tcBorders>
              <w:top w:val="double" w:color="000000" w:sz="6" w:space="0"/>
              <w:left w:val="single" w:color="auto" w:sz="4" w:space="0"/>
            </w:tcBorders>
            <w:noWrap w:val="0"/>
            <w:vAlign w:val="center"/>
          </w:tcPr>
          <w:p w14:paraId="14ABFDBB">
            <w:pPr>
              <w:keepNext w:val="0"/>
              <w:keepLines w:val="0"/>
              <w:pageBreakBefore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b/>
                <w:caps/>
                <w:color w:val="auto"/>
                <w:sz w:val="24"/>
                <w:szCs w:val="24"/>
                <w:highlight w:val="none"/>
                <w:lang w:val="en-US" w:eastAsia="zh-CN"/>
              </w:rPr>
            </w:pPr>
            <w:r>
              <w:rPr>
                <w:rFonts w:hint="eastAsia" w:ascii="仿宋" w:hAnsi="仿宋" w:eastAsia="仿宋" w:cs="仿宋"/>
                <w:b/>
                <w:caps/>
                <w:color w:val="auto"/>
                <w:sz w:val="24"/>
                <w:szCs w:val="24"/>
                <w:highlight w:val="none"/>
                <w:lang w:val="en-US" w:eastAsia="zh-CN"/>
              </w:rPr>
              <w:t>评分项目</w:t>
            </w:r>
          </w:p>
        </w:tc>
        <w:tc>
          <w:tcPr>
            <w:tcW w:w="767" w:type="dxa"/>
            <w:tcBorders>
              <w:top w:val="double" w:color="000000" w:sz="6" w:space="0"/>
              <w:left w:val="single" w:color="auto" w:sz="4" w:space="0"/>
            </w:tcBorders>
            <w:noWrap w:val="0"/>
            <w:vAlign w:val="center"/>
          </w:tcPr>
          <w:p w14:paraId="4DE0D263">
            <w:pPr>
              <w:keepNext w:val="0"/>
              <w:keepLines w:val="0"/>
              <w:pageBreakBefore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b/>
                <w:caps/>
                <w:color w:val="auto"/>
                <w:sz w:val="24"/>
                <w:szCs w:val="24"/>
                <w:highlight w:val="none"/>
                <w:lang w:val="en-US" w:eastAsia="zh-CN"/>
              </w:rPr>
            </w:pPr>
            <w:r>
              <w:rPr>
                <w:rFonts w:hint="eastAsia" w:ascii="仿宋" w:hAnsi="仿宋" w:eastAsia="仿宋" w:cs="仿宋"/>
                <w:b/>
                <w:caps/>
                <w:color w:val="auto"/>
                <w:sz w:val="24"/>
                <w:szCs w:val="24"/>
                <w:highlight w:val="none"/>
              </w:rPr>
              <w:t>分值</w:t>
            </w:r>
          </w:p>
        </w:tc>
        <w:tc>
          <w:tcPr>
            <w:tcW w:w="5900" w:type="dxa"/>
            <w:tcBorders>
              <w:top w:val="double" w:color="000000" w:sz="6" w:space="0"/>
              <w:left w:val="single" w:color="auto" w:sz="4" w:space="0"/>
            </w:tcBorders>
            <w:noWrap w:val="0"/>
            <w:vAlign w:val="center"/>
          </w:tcPr>
          <w:p w14:paraId="356E6319">
            <w:pPr>
              <w:keepNext w:val="0"/>
              <w:keepLines w:val="0"/>
              <w:pageBreakBefore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b/>
                <w:caps/>
                <w:color w:val="auto"/>
                <w:sz w:val="24"/>
                <w:szCs w:val="24"/>
                <w:highlight w:val="none"/>
                <w:lang w:eastAsia="zh-CN"/>
              </w:rPr>
            </w:pPr>
            <w:r>
              <w:rPr>
                <w:rFonts w:hint="eastAsia" w:ascii="仿宋" w:hAnsi="仿宋" w:eastAsia="仿宋" w:cs="仿宋"/>
                <w:b/>
                <w:caps/>
                <w:color w:val="auto"/>
                <w:sz w:val="24"/>
                <w:szCs w:val="24"/>
                <w:highlight w:val="none"/>
                <w:lang w:val="en-US" w:eastAsia="zh-CN"/>
              </w:rPr>
              <w:t>评分内容</w:t>
            </w:r>
          </w:p>
        </w:tc>
      </w:tr>
      <w:tr w14:paraId="1DA6411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56" w:type="dxa"/>
            <w:tcBorders>
              <w:right w:val="single" w:color="auto" w:sz="4" w:space="0"/>
            </w:tcBorders>
            <w:noWrap w:val="0"/>
            <w:vAlign w:val="center"/>
          </w:tcPr>
          <w:p w14:paraId="75017C4D">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70" w:type="dxa"/>
            <w:tcBorders>
              <w:left w:val="single" w:color="auto" w:sz="4" w:space="0"/>
            </w:tcBorders>
            <w:noWrap w:val="0"/>
            <w:vAlign w:val="center"/>
          </w:tcPr>
          <w:p w14:paraId="3A0045A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Style w:val="8"/>
                <w:rFonts w:hint="eastAsia" w:ascii="仿宋" w:hAnsi="仿宋" w:eastAsia="仿宋" w:cs="仿宋"/>
                <w:b/>
                <w:bCs/>
                <w:color w:val="auto"/>
                <w:sz w:val="24"/>
                <w:szCs w:val="24"/>
                <w:highlight w:val="none"/>
                <w:lang w:val="en-US" w:eastAsia="zh-CN" w:bidi="ar"/>
              </w:rPr>
            </w:pPr>
            <w:r>
              <w:rPr>
                <w:rStyle w:val="8"/>
                <w:rFonts w:hint="eastAsia" w:ascii="仿宋" w:hAnsi="仿宋" w:eastAsia="仿宋" w:cs="仿宋"/>
                <w:b/>
                <w:bCs/>
                <w:color w:val="auto"/>
                <w:sz w:val="24"/>
                <w:szCs w:val="24"/>
                <w:highlight w:val="none"/>
                <w:lang w:bidi="ar"/>
              </w:rPr>
              <w:t>投标报价</w:t>
            </w:r>
          </w:p>
        </w:tc>
        <w:tc>
          <w:tcPr>
            <w:tcW w:w="767" w:type="dxa"/>
            <w:tcBorders>
              <w:left w:val="single" w:color="auto" w:sz="4" w:space="0"/>
            </w:tcBorders>
            <w:noWrap w:val="0"/>
            <w:vAlign w:val="center"/>
          </w:tcPr>
          <w:p w14:paraId="49A0F85D">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Style w:val="8"/>
                <w:rFonts w:hint="eastAsia" w:ascii="仿宋" w:hAnsi="仿宋" w:eastAsia="仿宋" w:cs="仿宋"/>
                <w:b/>
                <w:bCs/>
                <w:color w:val="auto"/>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30</w:t>
            </w:r>
            <w:r>
              <w:rPr>
                <w:rFonts w:hint="eastAsia" w:ascii="仿宋" w:hAnsi="仿宋" w:eastAsia="仿宋" w:cs="仿宋"/>
                <w:color w:val="auto"/>
                <w:kern w:val="0"/>
                <w:sz w:val="24"/>
                <w:szCs w:val="24"/>
                <w:highlight w:val="none"/>
                <w:lang w:bidi="ar"/>
              </w:rPr>
              <w:t>分</w:t>
            </w:r>
          </w:p>
        </w:tc>
        <w:tc>
          <w:tcPr>
            <w:tcW w:w="5900" w:type="dxa"/>
            <w:tcBorders>
              <w:left w:val="single" w:color="auto" w:sz="4" w:space="0"/>
            </w:tcBorders>
            <w:noWrap w:val="0"/>
            <w:vAlign w:val="center"/>
          </w:tcPr>
          <w:p w14:paraId="27598DD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tLeas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满足</w:t>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rPr>
              <w:t>要求且</w:t>
            </w:r>
            <w:r>
              <w:rPr>
                <w:rFonts w:hint="eastAsia" w:ascii="仿宋" w:hAnsi="仿宋" w:eastAsia="仿宋" w:cs="仿宋"/>
                <w:color w:val="auto"/>
                <w:sz w:val="24"/>
                <w:szCs w:val="24"/>
                <w:lang w:val="en-US" w:eastAsia="zh-CN"/>
              </w:rPr>
              <w:t>报价下浮率</w:t>
            </w:r>
            <w:r>
              <w:rPr>
                <w:rFonts w:hint="eastAsia" w:ascii="仿宋" w:hAnsi="仿宋" w:eastAsia="仿宋" w:cs="仿宋"/>
                <w:color w:val="auto"/>
                <w:sz w:val="24"/>
                <w:szCs w:val="24"/>
              </w:rPr>
              <w:t>最低</w:t>
            </w:r>
            <w:r>
              <w:rPr>
                <w:rFonts w:hint="eastAsia" w:ascii="仿宋" w:hAnsi="仿宋" w:eastAsia="仿宋" w:cs="仿宋"/>
                <w:color w:val="auto"/>
                <w:sz w:val="24"/>
                <w:szCs w:val="24"/>
                <w:lang w:val="en-US" w:eastAsia="zh-CN"/>
              </w:rPr>
              <w:t>报价下浮率</w:t>
            </w:r>
            <w:r>
              <w:rPr>
                <w:rFonts w:hint="eastAsia" w:ascii="仿宋" w:hAnsi="仿宋" w:eastAsia="仿宋" w:cs="仿宋"/>
                <w:color w:val="auto"/>
                <w:sz w:val="24"/>
                <w:szCs w:val="24"/>
              </w:rPr>
              <w:t>为</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基准价，按照下列公式计算每个</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的投标报价得分。</w:t>
            </w:r>
          </w:p>
          <w:p w14:paraId="253A978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tLeast"/>
              <w:ind w:left="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投标报价得分=（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1-最低报价下浮率)</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(1-投标报价下浮率)</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30</w:t>
            </w:r>
          </w:p>
          <w:p w14:paraId="29B3B00E">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tLeast"/>
              <w:ind w:left="0" w:right="0" w:firstLine="482" w:firstLineChars="200"/>
              <w:textAlignment w:val="auto"/>
              <w:rPr>
                <w:rStyle w:val="8"/>
                <w:rFonts w:hint="eastAsia" w:ascii="仿宋" w:hAnsi="仿宋" w:eastAsia="仿宋" w:cs="仿宋"/>
                <w:b/>
                <w:bCs/>
                <w:color w:val="auto"/>
                <w:sz w:val="24"/>
                <w:szCs w:val="24"/>
                <w:highlight w:val="none"/>
                <w:lang w:val="en-US" w:eastAsia="zh-CN" w:bidi="ar"/>
              </w:rPr>
            </w:pPr>
            <w:r>
              <w:rPr>
                <w:rStyle w:val="8"/>
                <w:rFonts w:hint="eastAsia" w:ascii="仿宋" w:hAnsi="仿宋" w:eastAsia="仿宋" w:cs="仿宋"/>
                <w:b/>
                <w:bCs/>
                <w:color w:val="auto"/>
                <w:sz w:val="24"/>
                <w:szCs w:val="24"/>
                <w:highlight w:val="none"/>
                <w:lang w:val="en-US" w:eastAsia="zh-CN" w:bidi="ar"/>
              </w:rPr>
              <w:t>对“下浮率（投标报价下浮率）”注释为：</w:t>
            </w:r>
          </w:p>
          <w:p w14:paraId="1D767EEC">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lang w:val="en-US" w:eastAsia="zh-CN"/>
              </w:rPr>
            </w:pPr>
            <w:r>
              <w:rPr>
                <w:rStyle w:val="8"/>
                <w:rFonts w:hint="eastAsia" w:ascii="仿宋" w:hAnsi="仿宋" w:eastAsia="仿宋" w:cs="仿宋"/>
                <w:b/>
                <w:bCs/>
                <w:color w:val="auto"/>
                <w:sz w:val="24"/>
                <w:szCs w:val="24"/>
                <w:highlight w:val="none"/>
                <w:lang w:val="en-US" w:eastAsia="zh-CN" w:bidi="ar"/>
              </w:rPr>
              <w:t>本项目报价整体下浮率（下浮率为固定唯一数值），本项目包含的所有产品均执行相同的下浮率，无须另行报价。产品清单中所包含产品报出不同下浮率的，作为无效投标处理。后期合同执行中，产品单价=预算单价*（1-报价下浮率）。</w:t>
            </w:r>
          </w:p>
        </w:tc>
      </w:tr>
      <w:tr w14:paraId="77B678A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56" w:type="dxa"/>
            <w:tcBorders>
              <w:right w:val="single" w:color="auto" w:sz="4" w:space="0"/>
            </w:tcBorders>
            <w:noWrap w:val="0"/>
            <w:vAlign w:val="center"/>
          </w:tcPr>
          <w:p w14:paraId="77BEAFAD">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70" w:type="dxa"/>
            <w:tcBorders>
              <w:left w:val="single" w:color="auto" w:sz="4" w:space="0"/>
            </w:tcBorders>
            <w:noWrap w:val="0"/>
            <w:vAlign w:val="center"/>
          </w:tcPr>
          <w:p w14:paraId="35182D1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color w:val="auto"/>
                <w:kern w:val="0"/>
                <w:sz w:val="24"/>
                <w:szCs w:val="24"/>
                <w:highlight w:val="none"/>
                <w:lang w:val="en-US" w:eastAsia="zh-CN" w:bidi="ar"/>
              </w:rPr>
              <w:t>技术参数</w:t>
            </w:r>
          </w:p>
        </w:tc>
        <w:tc>
          <w:tcPr>
            <w:tcW w:w="767" w:type="dxa"/>
            <w:tcBorders>
              <w:left w:val="single" w:color="auto" w:sz="4" w:space="0"/>
            </w:tcBorders>
            <w:noWrap w:val="0"/>
            <w:vAlign w:val="center"/>
          </w:tcPr>
          <w:p w14:paraId="3730C1A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kern w:val="0"/>
                <w:sz w:val="24"/>
                <w:szCs w:val="24"/>
                <w:highlight w:val="none"/>
                <w:lang w:val="en-US" w:eastAsia="zh-CN" w:bidi="ar"/>
              </w:rPr>
              <w:t>40</w:t>
            </w:r>
            <w:r>
              <w:rPr>
                <w:rFonts w:hint="eastAsia" w:ascii="仿宋" w:hAnsi="仿宋" w:eastAsia="仿宋" w:cs="仿宋"/>
                <w:color w:val="auto"/>
                <w:kern w:val="0"/>
                <w:sz w:val="24"/>
                <w:szCs w:val="24"/>
                <w:highlight w:val="none"/>
                <w:lang w:bidi="ar"/>
              </w:rPr>
              <w:t>分</w:t>
            </w:r>
          </w:p>
        </w:tc>
        <w:tc>
          <w:tcPr>
            <w:tcW w:w="5900" w:type="dxa"/>
            <w:tcBorders>
              <w:left w:val="single" w:color="auto" w:sz="4" w:space="0"/>
            </w:tcBorders>
            <w:noWrap w:val="0"/>
            <w:vAlign w:val="center"/>
          </w:tcPr>
          <w:p w14:paraId="1E42039A">
            <w:pPr>
              <w:pStyle w:val="2"/>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满足采购文件招标清单中的所列明的产品功能用途、结构材质、技术参数等，满分40分。</w:t>
            </w:r>
          </w:p>
          <w:p w14:paraId="34D23C22">
            <w:pPr>
              <w:pStyle w:val="2"/>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带“✱”条款为实质性响应参数，不作为评分项，该参数不满足时，视为未实质性响应，</w:t>
            </w:r>
            <w:r>
              <w:rPr>
                <w:rFonts w:hint="eastAsia" w:ascii="仿宋" w:hAnsi="仿宋" w:eastAsia="仿宋" w:cs="仿宋"/>
                <w:b/>
                <w:bCs/>
                <w:sz w:val="24"/>
                <w:szCs w:val="24"/>
                <w:lang w:val="en-US" w:eastAsia="zh-CN"/>
              </w:rPr>
              <w:t>不得参与磋商下一环节。</w:t>
            </w:r>
          </w:p>
          <w:p w14:paraId="12F718B5">
            <w:pPr>
              <w:pStyle w:val="2"/>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带“</w:t>
            </w:r>
            <w:r>
              <w:rPr>
                <w:rFonts w:hint="eastAsia" w:ascii="仿宋" w:hAnsi="仿宋" w:eastAsia="仿宋" w:cs="仿宋"/>
                <w:sz w:val="24"/>
                <w:szCs w:val="24"/>
              </w:rPr>
              <w:t>▲</w:t>
            </w:r>
            <w:r>
              <w:rPr>
                <w:rFonts w:hint="eastAsia" w:ascii="仿宋" w:hAnsi="仿宋" w:eastAsia="仿宋" w:cs="仿宋"/>
                <w:sz w:val="24"/>
                <w:szCs w:val="24"/>
                <w:lang w:val="en-US" w:eastAsia="zh-CN"/>
              </w:rPr>
              <w:t>”条款为重要响应参数，其中一项不满足，扣5分，4条共20分。</w:t>
            </w:r>
          </w:p>
          <w:p w14:paraId="500DD224">
            <w:pPr>
              <w:pStyle w:val="2"/>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其余非带“✱”、“</w:t>
            </w:r>
            <w:r>
              <w:rPr>
                <w:rFonts w:hint="eastAsia" w:ascii="仿宋" w:hAnsi="仿宋" w:eastAsia="仿宋" w:cs="仿宋"/>
                <w:sz w:val="24"/>
                <w:szCs w:val="24"/>
              </w:rPr>
              <w:t>▲</w:t>
            </w:r>
            <w:r>
              <w:rPr>
                <w:rFonts w:hint="eastAsia" w:ascii="仿宋" w:hAnsi="仿宋" w:eastAsia="仿宋" w:cs="仿宋"/>
                <w:sz w:val="24"/>
                <w:szCs w:val="24"/>
                <w:lang w:val="en-US" w:eastAsia="zh-CN"/>
              </w:rPr>
              <w:t>”条款，其中一项不满足时扣2分，10条共20分。</w:t>
            </w:r>
          </w:p>
        </w:tc>
      </w:tr>
      <w:tr w14:paraId="51E333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56" w:type="dxa"/>
            <w:tcBorders>
              <w:right w:val="single" w:color="auto" w:sz="4" w:space="0"/>
            </w:tcBorders>
            <w:noWrap w:val="0"/>
            <w:vAlign w:val="center"/>
          </w:tcPr>
          <w:p w14:paraId="1E4F606C">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70" w:type="dxa"/>
            <w:tcBorders>
              <w:left w:val="single" w:color="auto" w:sz="4" w:space="0"/>
            </w:tcBorders>
            <w:noWrap w:val="0"/>
            <w:vAlign w:val="center"/>
          </w:tcPr>
          <w:p w14:paraId="0AE147F5">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医保编码及收费</w:t>
            </w:r>
          </w:p>
        </w:tc>
        <w:tc>
          <w:tcPr>
            <w:tcW w:w="767" w:type="dxa"/>
            <w:tcBorders>
              <w:left w:val="single" w:color="auto" w:sz="4" w:space="0"/>
            </w:tcBorders>
            <w:noWrap w:val="0"/>
            <w:vAlign w:val="center"/>
          </w:tcPr>
          <w:p w14:paraId="38AA4843">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16</w:t>
            </w:r>
          </w:p>
        </w:tc>
        <w:tc>
          <w:tcPr>
            <w:tcW w:w="5900" w:type="dxa"/>
            <w:tcBorders>
              <w:left w:val="single" w:color="auto" w:sz="4" w:space="0"/>
            </w:tcBorders>
            <w:noWrap w:val="0"/>
            <w:vAlign w:val="center"/>
          </w:tcPr>
          <w:p w14:paraId="1F95240D">
            <w:pPr>
              <w:pStyle w:val="2"/>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提供纳入国家医保目录内产品（提供具体医保编码），每项3分，共6分；</w:t>
            </w:r>
          </w:p>
          <w:p w14:paraId="6B5AF749">
            <w:pPr>
              <w:pStyle w:val="2"/>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提供能够按照贵州省收费目录进行收费的产品，每项5分，共10分。</w:t>
            </w:r>
          </w:p>
        </w:tc>
      </w:tr>
      <w:tr w14:paraId="21A4A09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756" w:type="dxa"/>
            <w:tcBorders>
              <w:right w:val="single" w:color="auto" w:sz="4" w:space="0"/>
            </w:tcBorders>
            <w:noWrap w:val="0"/>
            <w:vAlign w:val="center"/>
          </w:tcPr>
          <w:p w14:paraId="0D99C922">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70" w:type="dxa"/>
            <w:tcBorders>
              <w:left w:val="single" w:color="auto" w:sz="4" w:space="0"/>
            </w:tcBorders>
            <w:noWrap w:val="0"/>
            <w:vAlign w:val="center"/>
          </w:tcPr>
          <w:p w14:paraId="611B5DD8">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i w:val="0"/>
                <w:color w:val="auto"/>
                <w:kern w:val="0"/>
                <w:sz w:val="24"/>
                <w:szCs w:val="24"/>
                <w:highlight w:val="none"/>
                <w:u w:val="none"/>
                <w:lang w:val="en-US" w:eastAsia="zh-CN" w:bidi="ar"/>
              </w:rPr>
              <w:t>类似业绩</w:t>
            </w:r>
          </w:p>
        </w:tc>
        <w:tc>
          <w:tcPr>
            <w:tcW w:w="767" w:type="dxa"/>
            <w:tcBorders>
              <w:left w:val="single" w:color="auto" w:sz="4" w:space="0"/>
            </w:tcBorders>
            <w:noWrap w:val="0"/>
            <w:vAlign w:val="center"/>
          </w:tcPr>
          <w:p w14:paraId="0D117418">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en-US" w:eastAsia="zh-CN" w:bidi="ar"/>
              </w:rPr>
              <w:t>4分</w:t>
            </w:r>
          </w:p>
        </w:tc>
        <w:tc>
          <w:tcPr>
            <w:tcW w:w="5900" w:type="dxa"/>
            <w:tcBorders>
              <w:left w:val="single" w:color="auto" w:sz="4" w:space="0"/>
            </w:tcBorders>
            <w:noWrap w:val="0"/>
            <w:vAlign w:val="center"/>
          </w:tcPr>
          <w:p w14:paraId="0D89FF7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color w:val="auto"/>
                <w:sz w:val="24"/>
                <w:szCs w:val="24"/>
                <w:highlight w:val="none"/>
                <w:lang w:val="zh-CN"/>
              </w:rPr>
              <w:t>根据供应商提供的20</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val="zh-CN"/>
              </w:rPr>
              <w:t>年1月至今类似</w:t>
            </w:r>
            <w:r>
              <w:rPr>
                <w:rFonts w:hint="eastAsia" w:ascii="仿宋" w:hAnsi="仿宋" w:eastAsia="仿宋" w:cs="仿宋"/>
                <w:color w:val="auto"/>
                <w:sz w:val="24"/>
                <w:szCs w:val="24"/>
                <w:highlight w:val="none"/>
                <w:lang w:val="en-US" w:eastAsia="zh-CN"/>
              </w:rPr>
              <w:t>耗材</w:t>
            </w:r>
            <w:r>
              <w:rPr>
                <w:rFonts w:hint="eastAsia" w:ascii="仿宋" w:hAnsi="仿宋" w:eastAsia="仿宋" w:cs="仿宋"/>
                <w:color w:val="auto"/>
                <w:sz w:val="24"/>
                <w:szCs w:val="24"/>
                <w:highlight w:val="none"/>
                <w:lang w:val="zh-CN"/>
              </w:rPr>
              <w:t>业绩进行评价，须提供采购合同作为证明材料，每提供</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份有效的合同</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lang w:val="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en-US" w:eastAsia="zh-CN"/>
              </w:rPr>
              <w:t>最高可得4分，</w:t>
            </w:r>
            <w:r>
              <w:rPr>
                <w:rFonts w:hint="eastAsia" w:ascii="仿宋" w:hAnsi="仿宋" w:eastAsia="仿宋" w:cs="仿宋"/>
                <w:color w:val="auto"/>
                <w:sz w:val="24"/>
                <w:szCs w:val="24"/>
                <w:highlight w:val="none"/>
                <w:lang w:val="zh-CN"/>
              </w:rPr>
              <w:t>未提供不得分。</w:t>
            </w:r>
          </w:p>
        </w:tc>
      </w:tr>
      <w:tr w14:paraId="1AA012F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756" w:type="dxa"/>
            <w:tcBorders>
              <w:right w:val="single" w:color="auto" w:sz="4" w:space="0"/>
            </w:tcBorders>
            <w:noWrap w:val="0"/>
            <w:vAlign w:val="center"/>
          </w:tcPr>
          <w:p w14:paraId="50A8A844">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70" w:type="dxa"/>
            <w:tcBorders>
              <w:left w:val="single" w:color="auto" w:sz="4" w:space="0"/>
            </w:tcBorders>
            <w:noWrap w:val="0"/>
            <w:vAlign w:val="center"/>
          </w:tcPr>
          <w:p w14:paraId="25267524">
            <w:pPr>
              <w:pStyle w:val="2"/>
              <w:keepNext w:val="0"/>
              <w:keepLines w:val="0"/>
              <w:suppressLineNumbers w:val="0"/>
              <w:tabs>
                <w:tab w:val="center" w:pos="4140"/>
                <w:tab w:val="right" w:pos="8300"/>
                <w:tab w:val="clear" w:pos="4153"/>
                <w:tab w:val="clear" w:pos="8306"/>
              </w:tabs>
              <w:spacing w:before="0" w:beforeAutospacing="0" w:after="0" w:afterAutospacing="0"/>
              <w:ind w:left="0" w:right="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商务要求</w:t>
            </w:r>
          </w:p>
        </w:tc>
        <w:tc>
          <w:tcPr>
            <w:tcW w:w="767" w:type="dxa"/>
            <w:tcBorders>
              <w:left w:val="single" w:color="auto" w:sz="4" w:space="0"/>
            </w:tcBorders>
            <w:noWrap w:val="0"/>
            <w:vAlign w:val="center"/>
          </w:tcPr>
          <w:p w14:paraId="7A6625F0">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10分</w:t>
            </w:r>
          </w:p>
          <w:p w14:paraId="5820C816">
            <w:pPr>
              <w:pStyle w:val="2"/>
              <w:rPr>
                <w:rFonts w:hint="eastAsia"/>
                <w:lang w:val="en-US" w:eastAsia="zh-CN"/>
              </w:rPr>
            </w:pPr>
          </w:p>
        </w:tc>
        <w:tc>
          <w:tcPr>
            <w:tcW w:w="5900" w:type="dxa"/>
            <w:tcBorders>
              <w:left w:val="single" w:color="auto" w:sz="4" w:space="0"/>
            </w:tcBorders>
            <w:noWrap w:val="0"/>
            <w:vAlign w:val="center"/>
          </w:tcPr>
          <w:p w14:paraId="53507CBC">
            <w:pPr>
              <w:pStyle w:val="2"/>
              <w:keepNext w:val="0"/>
              <w:keepLines w:val="0"/>
              <w:suppressLineNumbers w:val="0"/>
              <w:tabs>
                <w:tab w:val="center" w:pos="4140"/>
                <w:tab w:val="right" w:pos="8300"/>
                <w:tab w:val="clear" w:pos="4153"/>
                <w:tab w:val="clear" w:pos="8306"/>
              </w:tabs>
              <w:spacing w:before="0" w:beforeAutospacing="0" w:after="0" w:afterAutospacing="0"/>
              <w:ind w:left="0" w:right="0" w:firstLine="480" w:firstLineChars="20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承诺自收到采购方订货要求后72小时内送货到指定地点；</w:t>
            </w:r>
          </w:p>
          <w:p w14:paraId="185EF844">
            <w:pPr>
              <w:pStyle w:val="2"/>
              <w:keepNext w:val="0"/>
              <w:keepLines w:val="0"/>
              <w:suppressLineNumbers w:val="0"/>
              <w:tabs>
                <w:tab w:val="center" w:pos="4140"/>
                <w:tab w:val="right" w:pos="8300"/>
                <w:tab w:val="clear" w:pos="4153"/>
                <w:tab w:val="clear" w:pos="8306"/>
              </w:tabs>
              <w:spacing w:before="0" w:beforeAutospacing="0" w:after="0" w:afterAutospacing="0"/>
              <w:ind w:left="0" w:right="0" w:firstLine="480" w:firstLineChars="20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承诺随货有合格证、产品说明书、销售清单，按采购方需要提供合法第三方机构检测报告等；</w:t>
            </w:r>
          </w:p>
          <w:p w14:paraId="62799868">
            <w:pPr>
              <w:pStyle w:val="2"/>
              <w:keepNext w:val="0"/>
              <w:keepLines w:val="0"/>
              <w:suppressLineNumbers w:val="0"/>
              <w:tabs>
                <w:tab w:val="center" w:pos="4140"/>
                <w:tab w:val="right" w:pos="8300"/>
                <w:tab w:val="clear" w:pos="4153"/>
                <w:tab w:val="clear" w:pos="8306"/>
              </w:tabs>
              <w:spacing w:before="0" w:beforeAutospacing="0" w:after="0" w:afterAutospacing="0"/>
              <w:ind w:left="0" w:right="0" w:firstLine="480" w:firstLineChars="20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承诺对包装损坏、近效期或失效产品进行更换回收处理；</w:t>
            </w:r>
          </w:p>
          <w:p w14:paraId="2E8402F3">
            <w:pPr>
              <w:pStyle w:val="2"/>
              <w:keepNext w:val="0"/>
              <w:keepLines w:val="0"/>
              <w:suppressLineNumbers w:val="0"/>
              <w:tabs>
                <w:tab w:val="center" w:pos="4140"/>
                <w:tab w:val="right" w:pos="8300"/>
                <w:tab w:val="clear" w:pos="4153"/>
                <w:tab w:val="clear" w:pos="8306"/>
              </w:tabs>
              <w:spacing w:before="0" w:beforeAutospacing="0" w:after="0" w:afterAutospacing="0"/>
              <w:ind w:left="0" w:right="0" w:firstLine="480" w:firstLineChars="200"/>
              <w:rPr>
                <w:rFonts w:hint="eastAsia" w:ascii="仿宋" w:hAnsi="仿宋" w:eastAsia="仿宋" w:cs="仿宋"/>
                <w:b w:val="0"/>
                <w:bCs/>
                <w:sz w:val="24"/>
                <w:szCs w:val="24"/>
                <w:lang w:eastAsia="zh-CN"/>
              </w:rPr>
            </w:pPr>
            <w:r>
              <w:rPr>
                <w:rFonts w:hint="eastAsia" w:ascii="仿宋" w:hAnsi="仿宋" w:eastAsia="仿宋" w:cs="仿宋"/>
                <w:b w:val="0"/>
                <w:bCs/>
                <w:color w:val="auto"/>
                <w:kern w:val="0"/>
                <w:sz w:val="24"/>
                <w:szCs w:val="24"/>
                <w:highlight w:val="none"/>
                <w:lang w:val="en-US" w:eastAsia="zh-CN"/>
              </w:rPr>
              <w:t>承诺</w:t>
            </w:r>
            <w:r>
              <w:rPr>
                <w:rFonts w:hint="eastAsia" w:ascii="仿宋" w:hAnsi="仿宋" w:eastAsia="仿宋" w:cs="仿宋"/>
                <w:b w:val="0"/>
                <w:bCs/>
                <w:sz w:val="24"/>
                <w:szCs w:val="24"/>
              </w:rPr>
              <w:t>项目各耗材，成交后合同期内，如因其中单个或部分试剂耗材被纳入国家、贵州省、贵阳市医保目录集中</w:t>
            </w:r>
            <w:r>
              <w:rPr>
                <w:rFonts w:hint="eastAsia" w:ascii="仿宋" w:hAnsi="仿宋" w:eastAsia="仿宋" w:cs="仿宋"/>
                <w:b w:val="0"/>
                <w:bCs/>
                <w:sz w:val="24"/>
                <w:szCs w:val="24"/>
                <w:lang w:val="en-US" w:eastAsia="zh-CN"/>
              </w:rPr>
              <w:t>带量</w:t>
            </w:r>
            <w:r>
              <w:rPr>
                <w:rFonts w:hint="eastAsia" w:ascii="仿宋" w:hAnsi="仿宋" w:eastAsia="仿宋" w:cs="仿宋"/>
                <w:b w:val="0"/>
                <w:bCs/>
                <w:sz w:val="24"/>
                <w:szCs w:val="24"/>
              </w:rPr>
              <w:t>采购或政府平台采购的，按其政策规定执行，本项目合同内关联产品供货自然终止，其它未关联产品仍按照合同执行供货</w:t>
            </w:r>
            <w:r>
              <w:rPr>
                <w:rFonts w:hint="eastAsia" w:ascii="仿宋" w:hAnsi="仿宋" w:eastAsia="仿宋" w:cs="仿宋"/>
                <w:b w:val="0"/>
                <w:bCs/>
                <w:sz w:val="24"/>
                <w:szCs w:val="24"/>
                <w:lang w:eastAsia="zh-CN"/>
              </w:rPr>
              <w:t>；</w:t>
            </w:r>
          </w:p>
          <w:p w14:paraId="793DA4E5">
            <w:pPr>
              <w:pStyle w:val="2"/>
              <w:keepNext w:val="0"/>
              <w:keepLines w:val="0"/>
              <w:suppressLineNumbers w:val="0"/>
              <w:tabs>
                <w:tab w:val="center" w:pos="4140"/>
                <w:tab w:val="right" w:pos="8300"/>
                <w:tab w:val="clear" w:pos="4153"/>
                <w:tab w:val="clear" w:pos="8306"/>
              </w:tabs>
              <w:spacing w:before="0" w:beforeAutospacing="0" w:after="0" w:afterAutospacing="0"/>
              <w:ind w:left="0" w:right="0"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产品使用后90天，按照购销合同和实际采购量，凭供应发票、销售清单等办理货款支付。</w:t>
            </w:r>
          </w:p>
          <w:p w14:paraId="20E69AC3">
            <w:pPr>
              <w:pStyle w:val="2"/>
              <w:keepNext w:val="0"/>
              <w:keepLines w:val="0"/>
              <w:suppressLineNumbers w:val="0"/>
              <w:tabs>
                <w:tab w:val="center" w:pos="4140"/>
                <w:tab w:val="right" w:pos="8300"/>
                <w:tab w:val="clear" w:pos="4153"/>
                <w:tab w:val="clear" w:pos="8306"/>
              </w:tabs>
              <w:spacing w:before="0" w:beforeAutospacing="0" w:after="0" w:afterAutospacing="0"/>
              <w:ind w:left="0" w:right="0"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以上每提供一项承诺内容（承诺内容符合商务要求）得2分，共10分。</w:t>
            </w:r>
          </w:p>
        </w:tc>
      </w:tr>
    </w:tbl>
    <w:p w14:paraId="6E50346D">
      <w:pPr>
        <w:keepNext w:val="0"/>
        <w:keepLines w:val="0"/>
        <w:pageBreakBefore w:val="0"/>
        <w:widowControl w:val="0"/>
        <w:kinsoku/>
        <w:wordWrap/>
        <w:overflowPunct/>
        <w:topLinePunct w:val="0"/>
        <w:autoSpaceDE w:val="0"/>
        <w:autoSpaceDN/>
        <w:bidi w:val="0"/>
        <w:adjustRightInd/>
        <w:snapToGrid/>
        <w:spacing w:beforeAutospacing="0" w:afterAutospacing="0" w:line="240" w:lineRule="auto"/>
        <w:ind w:firstLine="0" w:firstLineChars="0"/>
        <w:textAlignment w:val="auto"/>
        <w:rPr>
          <w:rFonts w:hint="eastAsia" w:ascii="仿宋" w:hAnsi="仿宋" w:eastAsia="仿宋" w:cs="Calibri"/>
          <w:color w:val="000000"/>
          <w:kern w:val="0"/>
          <w:sz w:val="28"/>
          <w:szCs w:val="28"/>
        </w:rPr>
        <w:sectPr>
          <w:pgSz w:w="11907" w:h="16840"/>
          <w:pgMar w:top="1531" w:right="1418" w:bottom="1361" w:left="1418" w:header="720" w:footer="720" w:gutter="0"/>
          <w:cols w:space="720" w:num="1"/>
          <w:docGrid w:type="lines" w:linePitch="285" w:charSpace="0"/>
        </w:sectPr>
      </w:pPr>
      <w:bookmarkStart w:id="0" w:name="_GoBack"/>
      <w:bookmarkEnd w:id="0"/>
    </w:p>
    <w:p w14:paraId="4C008B55">
      <w:pPr>
        <w:keepNext w:val="0"/>
        <w:keepLines w:val="0"/>
        <w:pageBreakBefore w:val="0"/>
        <w:widowControl w:val="0"/>
        <w:kinsoku/>
        <w:wordWrap/>
        <w:overflowPunct/>
        <w:topLinePunct w:val="0"/>
        <w:autoSpaceDE w:val="0"/>
        <w:autoSpaceDN/>
        <w:bidi w:val="0"/>
        <w:adjustRightInd/>
        <w:snapToGrid/>
        <w:spacing w:beforeAutospacing="0" w:afterAutospacing="0" w:line="240" w:lineRule="auto"/>
        <w:ind w:firstLine="0" w:firstLineChars="0"/>
        <w:textAlignment w:val="auto"/>
        <w:rPr>
          <w:rFonts w:hint="eastAsia" w:ascii="仿宋" w:hAnsi="仿宋" w:eastAsia="仿宋" w:cs="Calibri"/>
          <w:color w:val="000000"/>
          <w:kern w:val="0"/>
          <w:sz w:val="28"/>
          <w:szCs w:val="28"/>
        </w:rPr>
      </w:pPr>
    </w:p>
    <w:sectPr>
      <w:pgSz w:w="16840" w:h="11907" w:orient="landscape"/>
      <w:pgMar w:top="1418" w:right="1531" w:bottom="1418" w:left="1361" w:header="720" w:footer="720"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117E"/>
    <w:multiLevelType w:val="singleLevel"/>
    <w:tmpl w:val="99C7117E"/>
    <w:lvl w:ilvl="0" w:tentative="0">
      <w:start w:val="4"/>
      <w:numFmt w:val="decimal"/>
      <w:suff w:val="nothing"/>
      <w:lvlText w:val="%1、"/>
      <w:lvlJc w:val="left"/>
    </w:lvl>
  </w:abstractNum>
  <w:abstractNum w:abstractNumId="1">
    <w:nsid w:val="1BD8BB65"/>
    <w:multiLevelType w:val="singleLevel"/>
    <w:tmpl w:val="1BD8BB6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hY2Y3YTQ3NmRmNWI3ODkwOTQ5MTk2MmMxZWJmMmMifQ=="/>
  </w:docVars>
  <w:rsids>
    <w:rsidRoot w:val="00000000"/>
    <w:rsid w:val="03500408"/>
    <w:rsid w:val="075C3866"/>
    <w:rsid w:val="089B216C"/>
    <w:rsid w:val="0BC7332F"/>
    <w:rsid w:val="0D804AF9"/>
    <w:rsid w:val="14EC447B"/>
    <w:rsid w:val="162419F3"/>
    <w:rsid w:val="1F8B4078"/>
    <w:rsid w:val="27E30CAC"/>
    <w:rsid w:val="290C025E"/>
    <w:rsid w:val="29AC5B2F"/>
    <w:rsid w:val="307B625B"/>
    <w:rsid w:val="309E3E26"/>
    <w:rsid w:val="336E0F75"/>
    <w:rsid w:val="35535998"/>
    <w:rsid w:val="446948F1"/>
    <w:rsid w:val="480A0199"/>
    <w:rsid w:val="4BEF7DD1"/>
    <w:rsid w:val="534D799C"/>
    <w:rsid w:val="680C1784"/>
    <w:rsid w:val="681A18DB"/>
    <w:rsid w:val="68863414"/>
    <w:rsid w:val="697B0A9F"/>
    <w:rsid w:val="6ECF631A"/>
    <w:rsid w:val="71467BE4"/>
    <w:rsid w:val="71C267DB"/>
    <w:rsid w:val="77100A78"/>
    <w:rsid w:val="7A170370"/>
    <w:rsid w:val="7D96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next w:val="1"/>
    <w:qFormat/>
    <w:uiPriority w:val="0"/>
    <w:pPr>
      <w:spacing w:after="120"/>
    </w:pPr>
  </w:style>
  <w:style w:type="paragraph" w:styleId="4">
    <w:name w:val="Normal (Web)"/>
    <w:basedOn w:val="1"/>
    <w:unhideWhenUsed/>
    <w:qFormat/>
    <w:uiPriority w:val="99"/>
    <w:pPr>
      <w:spacing w:before="100" w:beforeAutospacing="1" w:after="100" w:afterAutospacing="1" w:line="360" w:lineRule="auto"/>
      <w:jc w:val="left"/>
    </w:pPr>
    <w:rPr>
      <w:rFonts w:ascii="Times New Roman" w:hAnsi="Times New Roman" w:eastAsia="宋体" w:cs="Times New Roman"/>
      <w:kern w:val="0"/>
      <w:sz w:val="24"/>
      <w:szCs w:val="24"/>
    </w:rPr>
  </w:style>
  <w:style w:type="table" w:styleId="6">
    <w:name w:val="Table Grid"/>
    <w:basedOn w:val="5"/>
    <w:qFormat/>
    <w:uiPriority w:val="3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font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4464</Words>
  <Characters>4589</Characters>
  <Lines>25</Lines>
  <Paragraphs>7</Paragraphs>
  <TotalTime>132</TotalTime>
  <ScaleCrop>false</ScaleCrop>
  <LinksUpToDate>false</LinksUpToDate>
  <CharactersWithSpaces>4634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2024-12-31T17:48:00Z</dcterms:created>
  <dc:creator>rzcgb1</dc:creator>
  <cp:lastModifiedBy>WPS_1602071983</cp:lastModifiedBy>
  <cp:lastPrinted>2025-04-22T06:20:25Z</cp:lastPrinted>
  <dcterms:modified xsi:type="dcterms:W3CDTF">2025-04-22T07:52:14Z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9DA78F2BC0194139AAC27F5A3F89B875_13</vt:lpwstr>
  </property>
  <property fmtid="{D5CDD505-2E9C-101B-9397-08002B2CF9AE}" pid="4" name="KSOTemplateDocerSaveRecord">
    <vt:lpwstr>eyJoZGlkIjoiNGY4MTU1MTI1ODZlODQ5ZTUyNmNlYjU4NWQ4MDJiZDEiLCJ1c2VySWQiOiIxMTI4MjQ1NjExIn0=</vt:lpwstr>
  </property>
</Properties>
</file>