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E7AD8">
      <w:pPr>
        <w:pStyle w:val="13"/>
        <w:bidi w:val="0"/>
        <w:rPr>
          <w:rFonts w:hint="default"/>
          <w:lang w:val="en-US" w:eastAsia="zh-CN"/>
        </w:rPr>
      </w:pPr>
      <w:r>
        <w:rPr>
          <w:rFonts w:hint="eastAsia"/>
          <w:lang w:val="en-US" w:eastAsia="zh-CN"/>
        </w:rPr>
        <w:t>技术服务要求</w:t>
      </w:r>
    </w:p>
    <w:p w14:paraId="7F7CAD90">
      <w:pPr>
        <w:numPr>
          <w:ilvl w:val="0"/>
          <w:numId w:val="0"/>
        </w:numPr>
        <w:spacing w:line="360" w:lineRule="auto"/>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1、服务内容：</w:t>
      </w:r>
      <w:r>
        <w:rPr>
          <w:rFonts w:hint="eastAsia" w:ascii="宋体" w:hAnsi="宋体" w:eastAsia="宋体" w:cs="宋体"/>
          <w:sz w:val="24"/>
          <w:szCs w:val="24"/>
        </w:rPr>
        <w:t>贵阳市妇幼保健院数据库</w:t>
      </w:r>
      <w:r>
        <w:rPr>
          <w:rFonts w:hint="eastAsia" w:ascii="宋体" w:hAnsi="宋体" w:eastAsia="宋体" w:cs="宋体"/>
          <w:sz w:val="24"/>
          <w:szCs w:val="24"/>
          <w:lang w:val="en-US" w:eastAsia="zh-CN"/>
        </w:rPr>
        <w:t>及操作系统运维</w:t>
      </w:r>
      <w:r>
        <w:rPr>
          <w:rFonts w:hint="eastAsia" w:ascii="宋体" w:hAnsi="宋体" w:eastAsia="宋体" w:cs="宋体"/>
          <w:sz w:val="24"/>
          <w:szCs w:val="24"/>
        </w:rPr>
        <w:t>服务，拟对医院 HIS、LIS、超声系统</w:t>
      </w:r>
      <w:r>
        <w:rPr>
          <w:rFonts w:hint="eastAsia" w:ascii="宋体" w:hAnsi="宋体" w:eastAsia="宋体" w:cs="宋体"/>
          <w:sz w:val="24"/>
          <w:szCs w:val="24"/>
          <w:lang w:eastAsia="zh-CN"/>
        </w:rPr>
        <w:t>、放射PACS、嘉和电子病历、</w:t>
      </w:r>
      <w:r>
        <w:rPr>
          <w:rFonts w:hint="eastAsia" w:ascii="宋体" w:hAnsi="宋体" w:eastAsia="宋体" w:cs="宋体"/>
          <w:sz w:val="24"/>
          <w:szCs w:val="24"/>
          <w:lang w:val="en-US" w:eastAsia="zh-CN"/>
        </w:rPr>
        <w:t>整体</w:t>
      </w:r>
      <w:r>
        <w:rPr>
          <w:rFonts w:hint="eastAsia" w:ascii="宋体" w:hAnsi="宋体" w:eastAsia="宋体" w:cs="宋体"/>
          <w:sz w:val="24"/>
          <w:szCs w:val="24"/>
          <w:lang w:eastAsia="zh-CN"/>
        </w:rPr>
        <w:t>护理系统</w:t>
      </w:r>
      <w:r>
        <w:rPr>
          <w:rFonts w:hint="eastAsia" w:ascii="宋体" w:hAnsi="宋体" w:eastAsia="宋体" w:cs="宋体"/>
          <w:sz w:val="24"/>
          <w:szCs w:val="24"/>
        </w:rPr>
        <w:t>数据库</w:t>
      </w:r>
      <w:r>
        <w:rPr>
          <w:rFonts w:hint="eastAsia" w:ascii="宋体" w:hAnsi="宋体" w:eastAsia="宋体" w:cs="宋体"/>
          <w:sz w:val="24"/>
          <w:szCs w:val="24"/>
          <w:lang w:val="en-US" w:eastAsia="zh-CN"/>
        </w:rPr>
        <w:t>和操作系统提供运维</w:t>
      </w:r>
      <w:r>
        <w:rPr>
          <w:rFonts w:hint="eastAsia" w:ascii="宋体" w:hAnsi="宋体" w:eastAsia="宋体" w:cs="宋体"/>
          <w:sz w:val="24"/>
          <w:szCs w:val="24"/>
        </w:rPr>
        <w:t>服</w:t>
      </w:r>
      <w:r>
        <w:rPr>
          <w:rFonts w:hint="eastAsia" w:ascii="宋体" w:hAnsi="宋体" w:eastAsia="宋体" w:cs="宋体"/>
          <w:sz w:val="24"/>
          <w:szCs w:val="24"/>
          <w:lang w:val="en-US" w:eastAsia="zh-CN"/>
        </w:rPr>
        <w:t>务，服务期限1年，</w:t>
      </w:r>
      <w:bookmarkStart w:id="0" w:name="_GoBack"/>
      <w:bookmarkEnd w:id="0"/>
      <w:r>
        <w:rPr>
          <w:rFonts w:hint="eastAsia" w:ascii="宋体" w:hAnsi="宋体" w:eastAsia="宋体" w:cs="宋体"/>
          <w:sz w:val="24"/>
          <w:szCs w:val="24"/>
          <w:lang w:val="en-US" w:eastAsia="zh-CN"/>
        </w:rPr>
        <w:t>具体如下：</w:t>
      </w:r>
    </w:p>
    <w:tbl>
      <w:tblPr>
        <w:tblStyle w:val="14"/>
        <w:tblW w:w="5130" w:type="pct"/>
        <w:tblInd w:w="0" w:type="dxa"/>
        <w:tblLayout w:type="autofit"/>
        <w:tblCellMar>
          <w:top w:w="0" w:type="dxa"/>
          <w:left w:w="108" w:type="dxa"/>
          <w:bottom w:w="0" w:type="dxa"/>
          <w:right w:w="108" w:type="dxa"/>
        </w:tblCellMar>
      </w:tblPr>
      <w:tblGrid>
        <w:gridCol w:w="938"/>
        <w:gridCol w:w="1146"/>
        <w:gridCol w:w="3864"/>
        <w:gridCol w:w="1665"/>
        <w:gridCol w:w="1131"/>
      </w:tblGrid>
      <w:tr w14:paraId="68A618AE">
        <w:tblPrEx>
          <w:tblCellMar>
            <w:top w:w="0" w:type="dxa"/>
            <w:left w:w="108" w:type="dxa"/>
            <w:bottom w:w="0" w:type="dxa"/>
            <w:right w:w="108" w:type="dxa"/>
          </w:tblCellMar>
        </w:tblPrEx>
        <w:trPr>
          <w:trHeight w:val="312" w:hRule="atLeast"/>
        </w:trPr>
        <w:tc>
          <w:tcPr>
            <w:tcW w:w="536" w:type="pct"/>
            <w:vMerge w:val="restart"/>
            <w:tcBorders>
              <w:top w:val="single" w:color="auto" w:sz="4" w:space="0"/>
              <w:left w:val="single" w:color="auto" w:sz="4" w:space="0"/>
              <w:bottom w:val="single" w:color="auto" w:sz="4" w:space="0"/>
              <w:right w:val="single" w:color="auto" w:sz="4" w:space="0"/>
            </w:tcBorders>
            <w:noWrap w:val="0"/>
            <w:vAlign w:val="center"/>
          </w:tcPr>
          <w:p w14:paraId="68DE1479">
            <w:pPr>
              <w:pStyle w:val="17"/>
              <w:bidi w:val="0"/>
              <w:rPr>
                <w:rFonts w:hint="eastAsia"/>
              </w:rPr>
            </w:pPr>
            <w:r>
              <w:rPr>
                <w:rFonts w:hint="eastAsia"/>
              </w:rPr>
              <w:t>项目名称</w:t>
            </w:r>
          </w:p>
        </w:tc>
        <w:tc>
          <w:tcPr>
            <w:tcW w:w="655" w:type="pct"/>
            <w:vMerge w:val="restart"/>
            <w:tcBorders>
              <w:top w:val="single" w:color="auto" w:sz="4" w:space="0"/>
              <w:left w:val="single" w:color="auto" w:sz="4" w:space="0"/>
              <w:bottom w:val="single" w:color="auto" w:sz="4" w:space="0"/>
              <w:right w:val="single" w:color="auto" w:sz="4" w:space="0"/>
            </w:tcBorders>
            <w:noWrap w:val="0"/>
            <w:vAlign w:val="center"/>
          </w:tcPr>
          <w:p w14:paraId="2DA19C97">
            <w:pPr>
              <w:pStyle w:val="17"/>
              <w:bidi w:val="0"/>
              <w:rPr>
                <w:rFonts w:hint="eastAsia"/>
              </w:rPr>
            </w:pPr>
            <w:r>
              <w:rPr>
                <w:rFonts w:hint="eastAsia"/>
              </w:rPr>
              <w:t>项目</w:t>
            </w:r>
          </w:p>
        </w:tc>
        <w:tc>
          <w:tcPr>
            <w:tcW w:w="2209" w:type="pct"/>
            <w:vMerge w:val="restart"/>
            <w:tcBorders>
              <w:top w:val="single" w:color="auto" w:sz="4" w:space="0"/>
              <w:left w:val="single" w:color="auto" w:sz="4" w:space="0"/>
              <w:bottom w:val="single" w:color="auto" w:sz="4" w:space="0"/>
              <w:right w:val="single" w:color="auto" w:sz="4" w:space="0"/>
            </w:tcBorders>
            <w:noWrap w:val="0"/>
            <w:vAlign w:val="center"/>
          </w:tcPr>
          <w:p w14:paraId="675B7149">
            <w:pPr>
              <w:pStyle w:val="17"/>
              <w:bidi w:val="0"/>
              <w:rPr>
                <w:rFonts w:hint="eastAsia"/>
              </w:rPr>
            </w:pPr>
            <w:r>
              <w:rPr>
                <w:rFonts w:hint="eastAsia"/>
              </w:rPr>
              <w:t>内容</w:t>
            </w:r>
          </w:p>
        </w:tc>
        <w:tc>
          <w:tcPr>
            <w:tcW w:w="952" w:type="pct"/>
            <w:vMerge w:val="restart"/>
            <w:tcBorders>
              <w:top w:val="single" w:color="auto" w:sz="4" w:space="0"/>
              <w:left w:val="single" w:color="auto" w:sz="4" w:space="0"/>
              <w:bottom w:val="single" w:color="auto" w:sz="4" w:space="0"/>
              <w:right w:val="single" w:color="auto" w:sz="4" w:space="0"/>
            </w:tcBorders>
            <w:noWrap w:val="0"/>
            <w:vAlign w:val="center"/>
          </w:tcPr>
          <w:p w14:paraId="3653F9C8">
            <w:pPr>
              <w:pStyle w:val="17"/>
              <w:bidi w:val="0"/>
              <w:rPr>
                <w:rFonts w:hint="eastAsia"/>
              </w:rPr>
            </w:pPr>
            <w:r>
              <w:rPr>
                <w:rFonts w:hint="eastAsia"/>
              </w:rPr>
              <w:t>频次</w:t>
            </w:r>
          </w:p>
        </w:tc>
        <w:tc>
          <w:tcPr>
            <w:tcW w:w="646" w:type="pct"/>
            <w:vMerge w:val="restart"/>
            <w:tcBorders>
              <w:top w:val="single" w:color="auto" w:sz="4" w:space="0"/>
              <w:left w:val="single" w:color="auto" w:sz="4" w:space="0"/>
              <w:bottom w:val="single" w:color="auto" w:sz="4" w:space="0"/>
              <w:right w:val="single" w:color="auto" w:sz="4" w:space="0"/>
            </w:tcBorders>
            <w:noWrap w:val="0"/>
            <w:vAlign w:val="center"/>
          </w:tcPr>
          <w:p w14:paraId="3FA03A42">
            <w:pPr>
              <w:pStyle w:val="17"/>
              <w:bidi w:val="0"/>
              <w:rPr>
                <w:rFonts w:hint="eastAsia"/>
              </w:rPr>
            </w:pPr>
            <w:r>
              <w:rPr>
                <w:rFonts w:hint="eastAsia"/>
              </w:rPr>
              <w:t>方式</w:t>
            </w:r>
          </w:p>
        </w:tc>
      </w:tr>
      <w:tr w14:paraId="2F1AA735">
        <w:tblPrEx>
          <w:tblCellMar>
            <w:top w:w="0" w:type="dxa"/>
            <w:left w:w="108" w:type="dxa"/>
            <w:bottom w:w="0" w:type="dxa"/>
            <w:right w:w="108" w:type="dxa"/>
          </w:tblCellMar>
        </w:tblPrEx>
        <w:trPr>
          <w:trHeight w:val="960" w:hRule="atLeast"/>
        </w:trPr>
        <w:tc>
          <w:tcPr>
            <w:tcW w:w="536" w:type="pct"/>
            <w:vMerge w:val="continue"/>
            <w:tcBorders>
              <w:top w:val="single" w:color="auto" w:sz="4" w:space="0"/>
              <w:left w:val="single" w:color="auto" w:sz="4" w:space="0"/>
              <w:bottom w:val="single" w:color="auto" w:sz="4" w:space="0"/>
              <w:right w:val="single" w:color="auto" w:sz="4" w:space="0"/>
            </w:tcBorders>
            <w:noWrap w:val="0"/>
            <w:vAlign w:val="center"/>
          </w:tcPr>
          <w:p w14:paraId="455E76CA">
            <w:pPr>
              <w:pStyle w:val="17"/>
              <w:bidi w:val="0"/>
              <w:rPr>
                <w:rFonts w:hint="eastAsia"/>
              </w:rPr>
            </w:pPr>
          </w:p>
        </w:tc>
        <w:tc>
          <w:tcPr>
            <w:tcW w:w="655" w:type="pct"/>
            <w:vMerge w:val="continue"/>
            <w:tcBorders>
              <w:top w:val="single" w:color="auto" w:sz="4" w:space="0"/>
              <w:left w:val="single" w:color="auto" w:sz="4" w:space="0"/>
              <w:bottom w:val="single" w:color="auto" w:sz="4" w:space="0"/>
              <w:right w:val="single" w:color="auto" w:sz="4" w:space="0"/>
            </w:tcBorders>
            <w:noWrap w:val="0"/>
            <w:vAlign w:val="center"/>
          </w:tcPr>
          <w:p w14:paraId="34F88093">
            <w:pPr>
              <w:pStyle w:val="17"/>
              <w:bidi w:val="0"/>
              <w:rPr>
                <w:rFonts w:hint="eastAsia"/>
              </w:rPr>
            </w:pPr>
          </w:p>
        </w:tc>
        <w:tc>
          <w:tcPr>
            <w:tcW w:w="2209" w:type="pct"/>
            <w:vMerge w:val="continue"/>
            <w:tcBorders>
              <w:top w:val="single" w:color="auto" w:sz="4" w:space="0"/>
              <w:left w:val="single" w:color="auto" w:sz="4" w:space="0"/>
              <w:bottom w:val="single" w:color="auto" w:sz="4" w:space="0"/>
              <w:right w:val="single" w:color="auto" w:sz="4" w:space="0"/>
            </w:tcBorders>
            <w:noWrap w:val="0"/>
            <w:vAlign w:val="center"/>
          </w:tcPr>
          <w:p w14:paraId="3866B4AD">
            <w:pPr>
              <w:pStyle w:val="17"/>
              <w:bidi w:val="0"/>
              <w:rPr>
                <w:rFonts w:hint="eastAsia"/>
              </w:rPr>
            </w:pPr>
          </w:p>
        </w:tc>
        <w:tc>
          <w:tcPr>
            <w:tcW w:w="952" w:type="pct"/>
            <w:vMerge w:val="continue"/>
            <w:tcBorders>
              <w:top w:val="single" w:color="auto" w:sz="4" w:space="0"/>
              <w:left w:val="single" w:color="auto" w:sz="4" w:space="0"/>
              <w:bottom w:val="single" w:color="auto" w:sz="4" w:space="0"/>
              <w:right w:val="single" w:color="auto" w:sz="4" w:space="0"/>
            </w:tcBorders>
            <w:noWrap w:val="0"/>
            <w:vAlign w:val="center"/>
          </w:tcPr>
          <w:p w14:paraId="67F27258">
            <w:pPr>
              <w:pStyle w:val="17"/>
              <w:bidi w:val="0"/>
              <w:rPr>
                <w:rFonts w:hint="eastAsia"/>
              </w:rPr>
            </w:pPr>
          </w:p>
        </w:tc>
        <w:tc>
          <w:tcPr>
            <w:tcW w:w="646" w:type="pct"/>
            <w:vMerge w:val="continue"/>
            <w:tcBorders>
              <w:top w:val="single" w:color="auto" w:sz="4" w:space="0"/>
              <w:left w:val="single" w:color="auto" w:sz="4" w:space="0"/>
              <w:bottom w:val="single" w:color="auto" w:sz="4" w:space="0"/>
              <w:right w:val="single" w:color="auto" w:sz="4" w:space="0"/>
            </w:tcBorders>
            <w:noWrap w:val="0"/>
            <w:vAlign w:val="center"/>
          </w:tcPr>
          <w:p w14:paraId="7C55D43A">
            <w:pPr>
              <w:pStyle w:val="17"/>
              <w:bidi w:val="0"/>
              <w:rPr>
                <w:rFonts w:hint="eastAsia"/>
              </w:rPr>
            </w:pPr>
          </w:p>
        </w:tc>
      </w:tr>
      <w:tr w14:paraId="131739A4">
        <w:tblPrEx>
          <w:tblCellMar>
            <w:top w:w="0" w:type="dxa"/>
            <w:left w:w="108" w:type="dxa"/>
            <w:bottom w:w="0" w:type="dxa"/>
            <w:right w:w="108" w:type="dxa"/>
          </w:tblCellMar>
        </w:tblPrEx>
        <w:trPr>
          <w:trHeight w:val="1760" w:hRule="atLeast"/>
        </w:trPr>
        <w:tc>
          <w:tcPr>
            <w:tcW w:w="536"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43674735">
            <w:pPr>
              <w:pStyle w:val="17"/>
              <w:bidi w:val="0"/>
              <w:rPr>
                <w:rFonts w:hint="eastAsia"/>
              </w:rPr>
            </w:pPr>
            <w:r>
              <w:rPr>
                <w:rFonts w:hint="eastAsia"/>
              </w:rPr>
              <w:t>贵阳市妇幼保健院数据库</w:t>
            </w:r>
            <w:r>
              <w:rPr>
                <w:rFonts w:hint="eastAsia"/>
                <w:lang w:val="en-US" w:eastAsia="zh-CN"/>
              </w:rPr>
              <w:t>及操作系统运维</w:t>
            </w:r>
            <w:r>
              <w:rPr>
                <w:rFonts w:hint="eastAsia"/>
              </w:rPr>
              <w:t>服务</w:t>
            </w:r>
          </w:p>
        </w:tc>
        <w:tc>
          <w:tcPr>
            <w:tcW w:w="655" w:type="pct"/>
            <w:tcBorders>
              <w:top w:val="nil"/>
              <w:left w:val="nil"/>
              <w:bottom w:val="single" w:color="auto" w:sz="4" w:space="0"/>
              <w:right w:val="single" w:color="auto" w:sz="4" w:space="0"/>
            </w:tcBorders>
            <w:shd w:val="clear" w:color="000000" w:fill="FFFFFF"/>
            <w:noWrap w:val="0"/>
            <w:vAlign w:val="center"/>
          </w:tcPr>
          <w:p w14:paraId="2A9CB9B0">
            <w:pPr>
              <w:pStyle w:val="17"/>
              <w:bidi w:val="0"/>
              <w:rPr>
                <w:rFonts w:hint="eastAsia"/>
              </w:rPr>
            </w:pPr>
            <w:r>
              <w:rPr>
                <w:rFonts w:hint="eastAsia"/>
                <w:lang w:val="en-US" w:eastAsia="zh-CN"/>
              </w:rPr>
              <w:t>技术</w:t>
            </w:r>
            <w:r>
              <w:rPr>
                <w:rFonts w:hint="eastAsia"/>
              </w:rPr>
              <w:t>人员</w:t>
            </w:r>
          </w:p>
        </w:tc>
        <w:tc>
          <w:tcPr>
            <w:tcW w:w="2209" w:type="pct"/>
            <w:tcBorders>
              <w:top w:val="single" w:color="auto" w:sz="4" w:space="0"/>
              <w:left w:val="nil"/>
              <w:bottom w:val="single" w:color="auto" w:sz="4" w:space="0"/>
              <w:right w:val="single" w:color="auto" w:sz="4" w:space="0"/>
            </w:tcBorders>
            <w:shd w:val="clear" w:color="000000" w:fill="FFFFFF"/>
            <w:noWrap w:val="0"/>
            <w:vAlign w:val="center"/>
          </w:tcPr>
          <w:p w14:paraId="4350591D">
            <w:pPr>
              <w:pStyle w:val="17"/>
              <w:bidi w:val="0"/>
              <w:rPr>
                <w:rFonts w:hint="eastAsia"/>
              </w:rPr>
            </w:pPr>
            <w:r>
              <w:rPr>
                <w:rFonts w:hint="eastAsia"/>
              </w:rPr>
              <w:t>配备</w:t>
            </w:r>
            <w:r>
              <w:rPr>
                <w:rFonts w:hint="eastAsia"/>
                <w:lang w:val="en-US" w:eastAsia="zh-CN"/>
              </w:rPr>
              <w:t>专业的服务团队</w:t>
            </w:r>
            <w:r>
              <w:rPr>
                <w:rFonts w:hint="eastAsia"/>
              </w:rPr>
              <w:t>DBA，7*24小时负责日常对接数据库相关问题的反馈、处理与跟踪。配置人员保证在接到问题协查通知后，10分钟内可响应，如需到达现场解决，可在接到通知后的</w:t>
            </w:r>
            <w:r>
              <w:rPr>
                <w:rFonts w:hint="eastAsia"/>
                <w:lang w:val="en-US" w:eastAsia="zh-CN"/>
              </w:rPr>
              <w:t>2</w:t>
            </w:r>
            <w:r>
              <w:rPr>
                <w:rFonts w:hint="eastAsia"/>
              </w:rPr>
              <w:t>小时内到达。</w:t>
            </w:r>
          </w:p>
        </w:tc>
        <w:tc>
          <w:tcPr>
            <w:tcW w:w="952" w:type="pct"/>
            <w:tcBorders>
              <w:top w:val="nil"/>
              <w:left w:val="nil"/>
              <w:bottom w:val="single" w:color="auto" w:sz="4" w:space="0"/>
              <w:right w:val="single" w:color="auto" w:sz="4" w:space="0"/>
            </w:tcBorders>
            <w:shd w:val="clear" w:color="000000" w:fill="FFFFFF"/>
            <w:noWrap w:val="0"/>
            <w:vAlign w:val="center"/>
          </w:tcPr>
          <w:p w14:paraId="7BFC4987">
            <w:pPr>
              <w:pStyle w:val="17"/>
              <w:bidi w:val="0"/>
              <w:rPr>
                <w:rFonts w:hint="eastAsia"/>
              </w:rPr>
            </w:pPr>
            <w:r>
              <w:rPr>
                <w:rFonts w:hint="eastAsia"/>
              </w:rPr>
              <w:t>按用户要求提供</w:t>
            </w:r>
          </w:p>
        </w:tc>
        <w:tc>
          <w:tcPr>
            <w:tcW w:w="646" w:type="pct"/>
            <w:tcBorders>
              <w:top w:val="nil"/>
              <w:left w:val="nil"/>
              <w:bottom w:val="single" w:color="auto" w:sz="4" w:space="0"/>
              <w:right w:val="single" w:color="auto" w:sz="4" w:space="0"/>
            </w:tcBorders>
            <w:shd w:val="clear" w:color="000000" w:fill="FFFFFF"/>
            <w:noWrap w:val="0"/>
            <w:vAlign w:val="center"/>
          </w:tcPr>
          <w:p w14:paraId="4D9B0E4E">
            <w:pPr>
              <w:pStyle w:val="17"/>
              <w:bidi w:val="0"/>
              <w:rPr>
                <w:rFonts w:hint="eastAsia"/>
              </w:rPr>
            </w:pPr>
            <w:r>
              <w:rPr>
                <w:rFonts w:hint="eastAsia"/>
              </w:rPr>
              <w:t>电话/即时通讯软件（QQ,微信）/现场</w:t>
            </w:r>
          </w:p>
        </w:tc>
      </w:tr>
      <w:tr w14:paraId="251FE84C">
        <w:tblPrEx>
          <w:tblCellMar>
            <w:top w:w="0" w:type="dxa"/>
            <w:left w:w="108" w:type="dxa"/>
            <w:bottom w:w="0" w:type="dxa"/>
            <w:right w:w="108" w:type="dxa"/>
          </w:tblCellMar>
        </w:tblPrEx>
        <w:trPr>
          <w:trHeight w:val="1828" w:hRule="atLeast"/>
        </w:trPr>
        <w:tc>
          <w:tcPr>
            <w:tcW w:w="536" w:type="pct"/>
            <w:vMerge w:val="continue"/>
            <w:tcBorders>
              <w:top w:val="nil"/>
              <w:left w:val="single" w:color="auto" w:sz="4" w:space="0"/>
              <w:bottom w:val="single" w:color="auto" w:sz="4" w:space="0"/>
              <w:right w:val="single" w:color="auto" w:sz="4" w:space="0"/>
            </w:tcBorders>
            <w:shd w:val="clear" w:color="auto" w:fill="auto"/>
            <w:noWrap w:val="0"/>
            <w:vAlign w:val="center"/>
          </w:tcPr>
          <w:p w14:paraId="06F938E3">
            <w:pPr>
              <w:pStyle w:val="17"/>
              <w:bidi w:val="0"/>
              <w:rPr>
                <w:rFonts w:hint="eastAsia"/>
              </w:rPr>
            </w:pPr>
          </w:p>
        </w:tc>
        <w:tc>
          <w:tcPr>
            <w:tcW w:w="655" w:type="pct"/>
            <w:tcBorders>
              <w:top w:val="nil"/>
              <w:left w:val="nil"/>
              <w:bottom w:val="single" w:color="auto" w:sz="4" w:space="0"/>
              <w:right w:val="single" w:color="auto" w:sz="4" w:space="0"/>
            </w:tcBorders>
            <w:shd w:val="clear" w:color="000000" w:fill="FFFFFF"/>
            <w:noWrap w:val="0"/>
            <w:vAlign w:val="center"/>
          </w:tcPr>
          <w:p w14:paraId="31C47CB5">
            <w:pPr>
              <w:pStyle w:val="17"/>
              <w:bidi w:val="0"/>
              <w:rPr>
                <w:rFonts w:hint="eastAsia"/>
              </w:rPr>
            </w:pPr>
            <w:r>
              <w:rPr>
                <w:rFonts w:hint="eastAsia"/>
              </w:rPr>
              <w:t>数据备份检查服务</w:t>
            </w:r>
          </w:p>
        </w:tc>
        <w:tc>
          <w:tcPr>
            <w:tcW w:w="2209" w:type="pct"/>
            <w:tcBorders>
              <w:top w:val="single" w:color="auto" w:sz="4" w:space="0"/>
              <w:left w:val="nil"/>
              <w:bottom w:val="single" w:color="auto" w:sz="4" w:space="0"/>
              <w:right w:val="single" w:color="auto" w:sz="4" w:space="0"/>
            </w:tcBorders>
            <w:shd w:val="clear" w:color="000000" w:fill="FFFFFF"/>
            <w:noWrap w:val="0"/>
            <w:vAlign w:val="center"/>
          </w:tcPr>
          <w:p w14:paraId="577BAA95">
            <w:pPr>
              <w:pStyle w:val="17"/>
              <w:bidi w:val="0"/>
              <w:rPr>
                <w:rFonts w:hint="eastAsia"/>
              </w:rPr>
            </w:pPr>
            <w:r>
              <w:rPr>
                <w:rFonts w:hint="eastAsia"/>
              </w:rPr>
              <w:t>因出于对数据备份安全及备份执行有效性检查考虑，需要DBA人员对医院在用数据库所有备份策略进行定期检查（如：DMP、RMAN备份，归档日志，双机备份软件等）确保其备份工作的有效执行，为数据安全提供有力保障。及时提供检查报告。</w:t>
            </w:r>
          </w:p>
        </w:tc>
        <w:tc>
          <w:tcPr>
            <w:tcW w:w="952" w:type="pct"/>
            <w:tcBorders>
              <w:top w:val="nil"/>
              <w:left w:val="nil"/>
              <w:bottom w:val="single" w:color="auto" w:sz="4" w:space="0"/>
              <w:right w:val="single" w:color="auto" w:sz="4" w:space="0"/>
            </w:tcBorders>
            <w:shd w:val="clear" w:color="000000" w:fill="FFFFFF"/>
            <w:noWrap w:val="0"/>
            <w:vAlign w:val="center"/>
          </w:tcPr>
          <w:p w14:paraId="2095BF06">
            <w:pPr>
              <w:pStyle w:val="17"/>
              <w:bidi w:val="0"/>
              <w:rPr>
                <w:rFonts w:hint="eastAsia"/>
              </w:rPr>
            </w:pPr>
            <w:r>
              <w:rPr>
                <w:rFonts w:hint="eastAsia"/>
              </w:rPr>
              <w:t>1次/季度</w:t>
            </w:r>
          </w:p>
        </w:tc>
        <w:tc>
          <w:tcPr>
            <w:tcW w:w="646" w:type="pct"/>
            <w:tcBorders>
              <w:top w:val="nil"/>
              <w:left w:val="nil"/>
              <w:bottom w:val="single" w:color="auto" w:sz="4" w:space="0"/>
              <w:right w:val="single" w:color="auto" w:sz="4" w:space="0"/>
            </w:tcBorders>
            <w:shd w:val="clear" w:color="000000" w:fill="FFFFFF"/>
            <w:noWrap w:val="0"/>
            <w:vAlign w:val="center"/>
          </w:tcPr>
          <w:p w14:paraId="0C84DEC6">
            <w:pPr>
              <w:pStyle w:val="17"/>
              <w:bidi w:val="0"/>
              <w:rPr>
                <w:rFonts w:hint="eastAsia"/>
              </w:rPr>
            </w:pPr>
            <w:r>
              <w:rPr>
                <w:rFonts w:hint="eastAsia"/>
              </w:rPr>
              <w:t>远程</w:t>
            </w:r>
          </w:p>
        </w:tc>
      </w:tr>
      <w:tr w14:paraId="728B9DD4">
        <w:tblPrEx>
          <w:tblCellMar>
            <w:top w:w="0" w:type="dxa"/>
            <w:left w:w="108" w:type="dxa"/>
            <w:bottom w:w="0" w:type="dxa"/>
            <w:right w:w="108" w:type="dxa"/>
          </w:tblCellMar>
        </w:tblPrEx>
        <w:trPr>
          <w:trHeight w:val="1828" w:hRule="atLeast"/>
        </w:trPr>
        <w:tc>
          <w:tcPr>
            <w:tcW w:w="536" w:type="pct"/>
            <w:vMerge w:val="continue"/>
            <w:tcBorders>
              <w:top w:val="nil"/>
              <w:left w:val="single" w:color="auto" w:sz="4" w:space="0"/>
              <w:bottom w:val="single" w:color="auto" w:sz="4" w:space="0"/>
              <w:right w:val="single" w:color="auto" w:sz="4" w:space="0"/>
            </w:tcBorders>
            <w:shd w:val="clear" w:color="auto" w:fill="auto"/>
            <w:noWrap w:val="0"/>
            <w:vAlign w:val="center"/>
          </w:tcPr>
          <w:p w14:paraId="33E0BEC8">
            <w:pPr>
              <w:pStyle w:val="17"/>
              <w:bidi w:val="0"/>
              <w:rPr>
                <w:rFonts w:hint="eastAsia"/>
              </w:rPr>
            </w:pPr>
          </w:p>
        </w:tc>
        <w:tc>
          <w:tcPr>
            <w:tcW w:w="655" w:type="pct"/>
            <w:tcBorders>
              <w:top w:val="nil"/>
              <w:left w:val="nil"/>
              <w:bottom w:val="single" w:color="auto" w:sz="4" w:space="0"/>
              <w:right w:val="single" w:color="auto" w:sz="4" w:space="0"/>
            </w:tcBorders>
            <w:shd w:val="clear" w:color="000000" w:fill="FFFFFF"/>
            <w:noWrap w:val="0"/>
            <w:vAlign w:val="center"/>
          </w:tcPr>
          <w:p w14:paraId="3ADE160F">
            <w:pPr>
              <w:pStyle w:val="17"/>
              <w:bidi w:val="0"/>
              <w:rPr>
                <w:rFonts w:hint="default" w:eastAsiaTheme="minorEastAsia"/>
                <w:lang w:val="en-US" w:eastAsia="zh-CN"/>
              </w:rPr>
            </w:pPr>
            <w:r>
              <w:rPr>
                <w:rFonts w:hint="eastAsia"/>
                <w:lang w:val="en-US" w:eastAsia="zh-CN"/>
              </w:rPr>
              <w:t>数据库操作系统监控服务</w:t>
            </w:r>
          </w:p>
        </w:tc>
        <w:tc>
          <w:tcPr>
            <w:tcW w:w="2209" w:type="pct"/>
            <w:tcBorders>
              <w:top w:val="single" w:color="auto" w:sz="4" w:space="0"/>
              <w:left w:val="nil"/>
              <w:bottom w:val="single" w:color="auto" w:sz="4" w:space="0"/>
              <w:right w:val="single" w:color="auto" w:sz="4" w:space="0"/>
            </w:tcBorders>
            <w:shd w:val="clear" w:color="000000" w:fill="FFFFFF"/>
            <w:noWrap w:val="0"/>
            <w:vAlign w:val="center"/>
          </w:tcPr>
          <w:p w14:paraId="7B6D88E7">
            <w:pPr>
              <w:pStyle w:val="17"/>
              <w:bidi w:val="0"/>
              <w:rPr>
                <w:rFonts w:hint="eastAsia"/>
              </w:rPr>
            </w:pPr>
            <w:r>
              <w:rPr>
                <w:rFonts w:hint="eastAsia"/>
              </w:rPr>
              <w:t>实时监控数据库</w:t>
            </w:r>
            <w:r>
              <w:rPr>
                <w:rFonts w:hint="eastAsia"/>
                <w:lang w:val="en-US" w:eastAsia="zh-CN"/>
              </w:rPr>
              <w:t>服务器情况，包括不限于</w:t>
            </w:r>
            <w:r>
              <w:rPr>
                <w:rFonts w:hint="eastAsia"/>
              </w:rPr>
              <w:t xml:space="preserve"> CPU 使用率、内存使用情况、磁盘 I/O、网络流量等关键指标，以及数据库进程的运行状态，及时发现异常情况并进行处理。</w:t>
            </w:r>
          </w:p>
        </w:tc>
        <w:tc>
          <w:tcPr>
            <w:tcW w:w="952" w:type="pct"/>
            <w:tcBorders>
              <w:top w:val="nil"/>
              <w:left w:val="nil"/>
              <w:bottom w:val="single" w:color="auto" w:sz="4" w:space="0"/>
              <w:right w:val="single" w:color="auto" w:sz="4" w:space="0"/>
            </w:tcBorders>
            <w:shd w:val="clear" w:color="000000" w:fill="FFFFFF"/>
            <w:noWrap w:val="0"/>
            <w:vAlign w:val="center"/>
          </w:tcPr>
          <w:p w14:paraId="49F6070A">
            <w:pPr>
              <w:pStyle w:val="17"/>
              <w:bidi w:val="0"/>
              <w:ind w:left="31" w:leftChars="15" w:right="31" w:rightChars="15"/>
              <w:rPr>
                <w:rFonts w:hint="default" w:asciiTheme="minorAscii" w:hAnsiTheme="minorAscii" w:eastAsiaTheme="minorEastAsia" w:cstheme="minorBidi"/>
                <w:sz w:val="21"/>
                <w:lang w:val="en-US" w:eastAsia="zh-CN"/>
              </w:rPr>
            </w:pPr>
            <w:r>
              <w:rPr>
                <w:rFonts w:hint="eastAsia" w:cstheme="minorBidi"/>
                <w:sz w:val="21"/>
                <w:lang w:val="en-US" w:eastAsia="zh-CN"/>
              </w:rPr>
              <w:t>7*24小时监控</w:t>
            </w:r>
          </w:p>
        </w:tc>
        <w:tc>
          <w:tcPr>
            <w:tcW w:w="646" w:type="pct"/>
            <w:tcBorders>
              <w:top w:val="nil"/>
              <w:left w:val="nil"/>
              <w:bottom w:val="single" w:color="auto" w:sz="4" w:space="0"/>
              <w:right w:val="single" w:color="auto" w:sz="4" w:space="0"/>
            </w:tcBorders>
            <w:shd w:val="clear" w:color="000000" w:fill="FFFFFF"/>
            <w:noWrap w:val="0"/>
            <w:vAlign w:val="center"/>
          </w:tcPr>
          <w:p w14:paraId="7D9B3730">
            <w:pPr>
              <w:pStyle w:val="17"/>
              <w:bidi w:val="0"/>
              <w:ind w:left="31" w:leftChars="15" w:right="31" w:rightChars="15"/>
              <w:rPr>
                <w:rFonts w:hint="eastAsia" w:asciiTheme="minorAscii" w:hAnsiTheme="minorAscii" w:eastAsiaTheme="minorEastAsia" w:cstheme="minorBidi"/>
                <w:sz w:val="21"/>
              </w:rPr>
            </w:pPr>
            <w:r>
              <w:rPr>
                <w:rFonts w:hint="eastAsia"/>
              </w:rPr>
              <w:t>远程</w:t>
            </w:r>
          </w:p>
        </w:tc>
      </w:tr>
      <w:tr w14:paraId="5EEB0C55">
        <w:tblPrEx>
          <w:tblCellMar>
            <w:top w:w="0" w:type="dxa"/>
            <w:left w:w="108" w:type="dxa"/>
            <w:bottom w:w="0" w:type="dxa"/>
            <w:right w:w="108" w:type="dxa"/>
          </w:tblCellMar>
        </w:tblPrEx>
        <w:trPr>
          <w:trHeight w:val="1828" w:hRule="atLeast"/>
        </w:trPr>
        <w:tc>
          <w:tcPr>
            <w:tcW w:w="536" w:type="pct"/>
            <w:vMerge w:val="continue"/>
            <w:tcBorders>
              <w:top w:val="nil"/>
              <w:left w:val="single" w:color="auto" w:sz="4" w:space="0"/>
              <w:bottom w:val="single" w:color="auto" w:sz="4" w:space="0"/>
              <w:right w:val="single" w:color="auto" w:sz="4" w:space="0"/>
            </w:tcBorders>
            <w:shd w:val="clear" w:color="auto" w:fill="auto"/>
            <w:noWrap w:val="0"/>
            <w:vAlign w:val="center"/>
          </w:tcPr>
          <w:p w14:paraId="49A60494">
            <w:pPr>
              <w:pStyle w:val="17"/>
              <w:bidi w:val="0"/>
              <w:rPr>
                <w:rFonts w:hint="eastAsia"/>
              </w:rPr>
            </w:pPr>
          </w:p>
        </w:tc>
        <w:tc>
          <w:tcPr>
            <w:tcW w:w="655" w:type="pct"/>
            <w:tcBorders>
              <w:top w:val="nil"/>
              <w:left w:val="nil"/>
              <w:bottom w:val="single" w:color="auto" w:sz="4" w:space="0"/>
              <w:right w:val="single" w:color="auto" w:sz="4" w:space="0"/>
            </w:tcBorders>
            <w:shd w:val="clear" w:color="000000" w:fill="FFFFFF"/>
            <w:noWrap w:val="0"/>
            <w:vAlign w:val="center"/>
          </w:tcPr>
          <w:p w14:paraId="3A2D6DF0">
            <w:pPr>
              <w:pStyle w:val="17"/>
              <w:bidi w:val="0"/>
              <w:rPr>
                <w:rFonts w:hint="default"/>
                <w:lang w:val="en-US" w:eastAsia="zh-CN"/>
              </w:rPr>
            </w:pPr>
            <w:r>
              <w:rPr>
                <w:rFonts w:hint="eastAsia"/>
                <w:lang w:val="en-US" w:eastAsia="zh-CN"/>
              </w:rPr>
              <w:t>数据库操作系统更新服务</w:t>
            </w:r>
          </w:p>
        </w:tc>
        <w:tc>
          <w:tcPr>
            <w:tcW w:w="2209" w:type="pct"/>
            <w:tcBorders>
              <w:top w:val="single" w:color="auto" w:sz="4" w:space="0"/>
              <w:left w:val="nil"/>
              <w:bottom w:val="single" w:color="auto" w:sz="4" w:space="0"/>
              <w:right w:val="single" w:color="auto" w:sz="4" w:space="0"/>
            </w:tcBorders>
            <w:shd w:val="clear" w:color="000000" w:fill="FFFFFF"/>
            <w:noWrap w:val="0"/>
            <w:vAlign w:val="center"/>
          </w:tcPr>
          <w:p w14:paraId="27452D02">
            <w:pPr>
              <w:pStyle w:val="17"/>
              <w:bidi w:val="0"/>
              <w:rPr>
                <w:rFonts w:hint="eastAsia"/>
              </w:rPr>
            </w:pPr>
            <w:r>
              <w:rPr>
                <w:rFonts w:hint="eastAsia"/>
              </w:rPr>
              <w:t>及时安装操作系统的安全补丁和更新，以修复已知的漏洞和缺陷，提高系统的稳定性和安全性。同时，也要确保数据库软件和相关驱动程序保持最新版本，以获得更好的性能和功能支持。</w:t>
            </w:r>
          </w:p>
        </w:tc>
        <w:tc>
          <w:tcPr>
            <w:tcW w:w="952" w:type="pct"/>
            <w:tcBorders>
              <w:top w:val="nil"/>
              <w:left w:val="nil"/>
              <w:bottom w:val="single" w:color="auto" w:sz="4" w:space="0"/>
              <w:right w:val="single" w:color="auto" w:sz="4" w:space="0"/>
            </w:tcBorders>
            <w:shd w:val="clear" w:color="000000" w:fill="FFFFFF"/>
            <w:noWrap w:val="0"/>
            <w:vAlign w:val="center"/>
          </w:tcPr>
          <w:p w14:paraId="20CFD4EA">
            <w:pPr>
              <w:pStyle w:val="17"/>
              <w:bidi w:val="0"/>
              <w:ind w:left="31" w:leftChars="15" w:right="31" w:rightChars="15"/>
              <w:rPr>
                <w:rFonts w:hint="eastAsia" w:asciiTheme="minorAscii" w:hAnsiTheme="minorAscii" w:eastAsiaTheme="minorEastAsia" w:cstheme="minorBidi"/>
                <w:sz w:val="21"/>
                <w:lang w:val="en-US" w:eastAsia="zh-CN"/>
              </w:rPr>
            </w:pPr>
            <w:r>
              <w:rPr>
                <w:rFonts w:hint="eastAsia"/>
              </w:rPr>
              <w:t>按用户要求提供</w:t>
            </w:r>
          </w:p>
        </w:tc>
        <w:tc>
          <w:tcPr>
            <w:tcW w:w="646" w:type="pct"/>
            <w:tcBorders>
              <w:top w:val="nil"/>
              <w:left w:val="nil"/>
              <w:bottom w:val="single" w:color="auto" w:sz="4" w:space="0"/>
              <w:right w:val="single" w:color="auto" w:sz="4" w:space="0"/>
            </w:tcBorders>
            <w:shd w:val="clear" w:color="000000" w:fill="FFFFFF"/>
            <w:noWrap w:val="0"/>
            <w:vAlign w:val="center"/>
          </w:tcPr>
          <w:p w14:paraId="3E43A918">
            <w:pPr>
              <w:pStyle w:val="17"/>
              <w:bidi w:val="0"/>
              <w:ind w:left="31" w:leftChars="15" w:right="31" w:rightChars="15"/>
              <w:rPr>
                <w:rFonts w:hint="eastAsia" w:asciiTheme="minorAscii" w:hAnsiTheme="minorAscii" w:eastAsiaTheme="minorEastAsia" w:cstheme="minorBidi"/>
                <w:sz w:val="21"/>
              </w:rPr>
            </w:pPr>
            <w:r>
              <w:rPr>
                <w:rFonts w:hint="eastAsia"/>
              </w:rPr>
              <w:t>远程</w:t>
            </w:r>
          </w:p>
        </w:tc>
      </w:tr>
      <w:tr w14:paraId="290FEE58">
        <w:tblPrEx>
          <w:tblCellMar>
            <w:top w:w="0" w:type="dxa"/>
            <w:left w:w="108" w:type="dxa"/>
            <w:bottom w:w="0" w:type="dxa"/>
            <w:right w:w="108" w:type="dxa"/>
          </w:tblCellMar>
        </w:tblPrEx>
        <w:trPr>
          <w:trHeight w:val="565" w:hRule="atLeast"/>
        </w:trPr>
        <w:tc>
          <w:tcPr>
            <w:tcW w:w="536" w:type="pct"/>
            <w:vMerge w:val="continue"/>
            <w:tcBorders>
              <w:top w:val="nil"/>
              <w:left w:val="single" w:color="auto" w:sz="4" w:space="0"/>
              <w:bottom w:val="single" w:color="auto" w:sz="4" w:space="0"/>
              <w:right w:val="single" w:color="auto" w:sz="4" w:space="0"/>
            </w:tcBorders>
            <w:shd w:val="clear" w:color="auto" w:fill="auto"/>
            <w:noWrap w:val="0"/>
            <w:vAlign w:val="center"/>
          </w:tcPr>
          <w:p w14:paraId="2D7D6169">
            <w:pPr>
              <w:pStyle w:val="17"/>
              <w:bidi w:val="0"/>
              <w:rPr>
                <w:rFonts w:hint="eastAsia"/>
              </w:rPr>
            </w:pPr>
          </w:p>
        </w:tc>
        <w:tc>
          <w:tcPr>
            <w:tcW w:w="655" w:type="pct"/>
            <w:tcBorders>
              <w:top w:val="nil"/>
              <w:left w:val="nil"/>
              <w:bottom w:val="single" w:color="auto" w:sz="4" w:space="0"/>
              <w:right w:val="single" w:color="auto" w:sz="4" w:space="0"/>
            </w:tcBorders>
            <w:shd w:val="clear" w:color="000000" w:fill="FFFFFF"/>
            <w:noWrap w:val="0"/>
            <w:vAlign w:val="center"/>
          </w:tcPr>
          <w:p w14:paraId="05EE78CD">
            <w:pPr>
              <w:pStyle w:val="17"/>
              <w:bidi w:val="0"/>
              <w:rPr>
                <w:rFonts w:hint="default"/>
                <w:lang w:val="en-US" w:eastAsia="zh-CN"/>
              </w:rPr>
            </w:pPr>
            <w:r>
              <w:rPr>
                <w:rFonts w:hint="eastAsia"/>
                <w:lang w:val="en-US" w:eastAsia="zh-CN"/>
              </w:rPr>
              <w:t>数据库操作系统优化服务</w:t>
            </w:r>
          </w:p>
        </w:tc>
        <w:tc>
          <w:tcPr>
            <w:tcW w:w="2209" w:type="pct"/>
            <w:tcBorders>
              <w:top w:val="single" w:color="auto" w:sz="4" w:space="0"/>
              <w:left w:val="nil"/>
              <w:bottom w:val="single" w:color="auto" w:sz="4" w:space="0"/>
              <w:right w:val="single" w:color="auto" w:sz="4" w:space="0"/>
            </w:tcBorders>
            <w:shd w:val="clear" w:color="000000" w:fill="FFFFFF"/>
            <w:noWrap w:val="0"/>
            <w:vAlign w:val="center"/>
          </w:tcPr>
          <w:p w14:paraId="738F9C3F">
            <w:pPr>
              <w:pStyle w:val="17"/>
              <w:bidi w:val="0"/>
              <w:rPr>
                <w:rFonts w:hint="eastAsia"/>
              </w:rPr>
            </w:pPr>
            <w:r>
              <w:rPr>
                <w:rFonts w:hint="eastAsia"/>
                <w:lang w:val="en-US" w:eastAsia="zh-CN"/>
              </w:rPr>
              <w:t>根据运行情况，合理分析，能对数据库操作系统的内存、存储配置等参数设置进行调整，</w:t>
            </w:r>
            <w:r>
              <w:rPr>
                <w:rFonts w:hint="eastAsia"/>
              </w:rPr>
              <w:t>优化内核参数、进程调度策略，提升并发处理能力和响应速度。结合服务器硬件（如存储设备、网络接口）特性，优化操作系统与硬件的协作效率。</w:t>
            </w:r>
          </w:p>
        </w:tc>
        <w:tc>
          <w:tcPr>
            <w:tcW w:w="952" w:type="pct"/>
            <w:tcBorders>
              <w:top w:val="nil"/>
              <w:left w:val="nil"/>
              <w:bottom w:val="single" w:color="auto" w:sz="4" w:space="0"/>
              <w:right w:val="single" w:color="auto" w:sz="4" w:space="0"/>
            </w:tcBorders>
            <w:shd w:val="clear" w:color="000000" w:fill="FFFFFF"/>
            <w:noWrap w:val="0"/>
            <w:vAlign w:val="center"/>
          </w:tcPr>
          <w:p w14:paraId="518591EB">
            <w:pPr>
              <w:pStyle w:val="17"/>
              <w:bidi w:val="0"/>
              <w:ind w:left="31" w:leftChars="15" w:right="31" w:rightChars="15"/>
              <w:rPr>
                <w:rFonts w:hint="eastAsia" w:asciiTheme="minorAscii" w:hAnsiTheme="minorAscii" w:eastAsiaTheme="minorEastAsia" w:cstheme="minorBidi"/>
                <w:sz w:val="21"/>
                <w:lang w:val="en-US" w:eastAsia="zh-CN"/>
              </w:rPr>
            </w:pPr>
            <w:r>
              <w:rPr>
                <w:rFonts w:hint="eastAsia"/>
              </w:rPr>
              <w:t>按用户要求提供</w:t>
            </w:r>
          </w:p>
        </w:tc>
        <w:tc>
          <w:tcPr>
            <w:tcW w:w="646" w:type="pct"/>
            <w:tcBorders>
              <w:top w:val="nil"/>
              <w:left w:val="nil"/>
              <w:bottom w:val="single" w:color="auto" w:sz="4" w:space="0"/>
              <w:right w:val="single" w:color="auto" w:sz="4" w:space="0"/>
            </w:tcBorders>
            <w:shd w:val="clear" w:color="000000" w:fill="FFFFFF"/>
            <w:noWrap w:val="0"/>
            <w:vAlign w:val="center"/>
          </w:tcPr>
          <w:p w14:paraId="38FC97C2">
            <w:pPr>
              <w:pStyle w:val="17"/>
              <w:bidi w:val="0"/>
              <w:ind w:left="31" w:leftChars="15" w:right="31" w:rightChars="15"/>
              <w:rPr>
                <w:rFonts w:hint="eastAsia" w:asciiTheme="minorAscii" w:hAnsiTheme="minorAscii" w:eastAsiaTheme="minorEastAsia" w:cstheme="minorBidi"/>
                <w:sz w:val="21"/>
              </w:rPr>
            </w:pPr>
            <w:r>
              <w:rPr>
                <w:rFonts w:hint="eastAsia"/>
              </w:rPr>
              <w:t>远程</w:t>
            </w:r>
          </w:p>
        </w:tc>
      </w:tr>
      <w:tr w14:paraId="23196141">
        <w:tblPrEx>
          <w:tblCellMar>
            <w:top w:w="0" w:type="dxa"/>
            <w:left w:w="108" w:type="dxa"/>
            <w:bottom w:w="0" w:type="dxa"/>
            <w:right w:w="108" w:type="dxa"/>
          </w:tblCellMar>
        </w:tblPrEx>
        <w:trPr>
          <w:trHeight w:val="1395" w:hRule="atLeast"/>
        </w:trPr>
        <w:tc>
          <w:tcPr>
            <w:tcW w:w="536" w:type="pct"/>
            <w:vMerge w:val="continue"/>
            <w:tcBorders>
              <w:top w:val="nil"/>
              <w:left w:val="single" w:color="auto" w:sz="4" w:space="0"/>
              <w:bottom w:val="single" w:color="auto" w:sz="4" w:space="0"/>
              <w:right w:val="single" w:color="auto" w:sz="4" w:space="0"/>
            </w:tcBorders>
            <w:shd w:val="clear" w:color="auto" w:fill="auto"/>
            <w:noWrap w:val="0"/>
            <w:vAlign w:val="center"/>
          </w:tcPr>
          <w:p w14:paraId="346FC12C">
            <w:pPr>
              <w:pStyle w:val="17"/>
              <w:bidi w:val="0"/>
              <w:rPr>
                <w:rFonts w:hint="eastAsia"/>
              </w:rPr>
            </w:pPr>
          </w:p>
        </w:tc>
        <w:tc>
          <w:tcPr>
            <w:tcW w:w="655" w:type="pct"/>
            <w:tcBorders>
              <w:top w:val="nil"/>
              <w:left w:val="nil"/>
              <w:bottom w:val="single" w:color="auto" w:sz="4" w:space="0"/>
              <w:right w:val="single" w:color="auto" w:sz="4" w:space="0"/>
            </w:tcBorders>
            <w:shd w:val="clear" w:color="000000" w:fill="FFFFFF"/>
            <w:noWrap w:val="0"/>
            <w:vAlign w:val="center"/>
          </w:tcPr>
          <w:p w14:paraId="1B551F1D">
            <w:pPr>
              <w:pStyle w:val="17"/>
              <w:bidi w:val="0"/>
              <w:rPr>
                <w:rFonts w:hint="eastAsia"/>
              </w:rPr>
            </w:pPr>
            <w:r>
              <w:rPr>
                <w:rFonts w:hint="eastAsia"/>
              </w:rPr>
              <w:t>辅助故障定位服务</w:t>
            </w:r>
          </w:p>
        </w:tc>
        <w:tc>
          <w:tcPr>
            <w:tcW w:w="2209" w:type="pct"/>
            <w:tcBorders>
              <w:top w:val="single" w:color="auto" w:sz="4" w:space="0"/>
              <w:left w:val="nil"/>
              <w:bottom w:val="single" w:color="auto" w:sz="4" w:space="0"/>
              <w:right w:val="single" w:color="auto" w:sz="4" w:space="0"/>
            </w:tcBorders>
            <w:shd w:val="clear" w:color="000000" w:fill="FFFFFF"/>
            <w:noWrap w:val="0"/>
            <w:vAlign w:val="center"/>
          </w:tcPr>
          <w:p w14:paraId="0FAC49A5">
            <w:pPr>
              <w:pStyle w:val="17"/>
              <w:bidi w:val="0"/>
              <w:rPr>
                <w:rFonts w:hint="eastAsia"/>
              </w:rPr>
            </w:pPr>
            <w:r>
              <w:rPr>
                <w:rFonts w:hint="eastAsia"/>
              </w:rPr>
              <w:t>当故障涉及多个系统层面及多家厂商时，运维工程师将从数据库层面</w:t>
            </w:r>
            <w:r>
              <w:rPr>
                <w:rFonts w:hint="eastAsia"/>
                <w:lang w:val="en-US" w:eastAsia="zh-CN"/>
              </w:rPr>
              <w:t>和操作系统工程师从操作系统层面</w:t>
            </w:r>
            <w:r>
              <w:rPr>
                <w:rFonts w:hint="eastAsia"/>
              </w:rPr>
              <w:t>协助用户进行故障定位，及时将故障根源告知用户，提高问题解决效率。</w:t>
            </w:r>
          </w:p>
        </w:tc>
        <w:tc>
          <w:tcPr>
            <w:tcW w:w="952" w:type="pct"/>
            <w:tcBorders>
              <w:top w:val="nil"/>
              <w:left w:val="nil"/>
              <w:bottom w:val="single" w:color="auto" w:sz="4" w:space="0"/>
              <w:right w:val="single" w:color="auto" w:sz="4" w:space="0"/>
            </w:tcBorders>
            <w:shd w:val="clear" w:color="000000" w:fill="FFFFFF"/>
            <w:noWrap w:val="0"/>
            <w:vAlign w:val="center"/>
          </w:tcPr>
          <w:p w14:paraId="314C58FC">
            <w:pPr>
              <w:pStyle w:val="17"/>
              <w:bidi w:val="0"/>
              <w:rPr>
                <w:rFonts w:hint="eastAsia"/>
              </w:rPr>
            </w:pPr>
            <w:r>
              <w:rPr>
                <w:rFonts w:hint="eastAsia"/>
              </w:rPr>
              <w:t>按用户要求提供</w:t>
            </w:r>
          </w:p>
        </w:tc>
        <w:tc>
          <w:tcPr>
            <w:tcW w:w="646" w:type="pct"/>
            <w:tcBorders>
              <w:top w:val="nil"/>
              <w:left w:val="nil"/>
              <w:bottom w:val="single" w:color="auto" w:sz="4" w:space="0"/>
              <w:right w:val="single" w:color="auto" w:sz="4" w:space="0"/>
            </w:tcBorders>
            <w:shd w:val="clear" w:color="000000" w:fill="FFFFFF"/>
            <w:noWrap w:val="0"/>
            <w:vAlign w:val="center"/>
          </w:tcPr>
          <w:p w14:paraId="3C37D536">
            <w:pPr>
              <w:pStyle w:val="17"/>
              <w:bidi w:val="0"/>
              <w:rPr>
                <w:rFonts w:hint="eastAsia"/>
              </w:rPr>
            </w:pPr>
            <w:r>
              <w:rPr>
                <w:rFonts w:hint="eastAsia"/>
              </w:rPr>
              <w:t>远程</w:t>
            </w:r>
          </w:p>
        </w:tc>
      </w:tr>
      <w:tr w14:paraId="3F968B94">
        <w:tblPrEx>
          <w:tblCellMar>
            <w:top w:w="0" w:type="dxa"/>
            <w:left w:w="108" w:type="dxa"/>
            <w:bottom w:w="0" w:type="dxa"/>
            <w:right w:w="108" w:type="dxa"/>
          </w:tblCellMar>
        </w:tblPrEx>
        <w:trPr>
          <w:trHeight w:val="1785" w:hRule="atLeast"/>
        </w:trPr>
        <w:tc>
          <w:tcPr>
            <w:tcW w:w="536" w:type="pct"/>
            <w:vMerge w:val="continue"/>
            <w:tcBorders>
              <w:top w:val="nil"/>
              <w:left w:val="single" w:color="auto" w:sz="4" w:space="0"/>
              <w:bottom w:val="single" w:color="auto" w:sz="4" w:space="0"/>
              <w:right w:val="single" w:color="auto" w:sz="4" w:space="0"/>
            </w:tcBorders>
            <w:shd w:val="clear" w:color="auto" w:fill="auto"/>
            <w:noWrap w:val="0"/>
            <w:vAlign w:val="center"/>
          </w:tcPr>
          <w:p w14:paraId="0679BC2A">
            <w:pPr>
              <w:pStyle w:val="17"/>
              <w:bidi w:val="0"/>
              <w:rPr>
                <w:rFonts w:hint="eastAsia"/>
              </w:rPr>
            </w:pPr>
          </w:p>
        </w:tc>
        <w:tc>
          <w:tcPr>
            <w:tcW w:w="655" w:type="pct"/>
            <w:tcBorders>
              <w:top w:val="nil"/>
              <w:left w:val="nil"/>
              <w:bottom w:val="single" w:color="auto" w:sz="4" w:space="0"/>
              <w:right w:val="single" w:color="auto" w:sz="4" w:space="0"/>
            </w:tcBorders>
            <w:shd w:val="clear" w:color="000000" w:fill="FFFFFF"/>
            <w:noWrap w:val="0"/>
            <w:vAlign w:val="center"/>
          </w:tcPr>
          <w:p w14:paraId="3219172F">
            <w:pPr>
              <w:pStyle w:val="17"/>
              <w:bidi w:val="0"/>
              <w:rPr>
                <w:rFonts w:hint="eastAsia"/>
              </w:rPr>
            </w:pPr>
            <w:r>
              <w:rPr>
                <w:rFonts w:hint="eastAsia"/>
              </w:rPr>
              <w:t>数据库组件修复</w:t>
            </w:r>
          </w:p>
        </w:tc>
        <w:tc>
          <w:tcPr>
            <w:tcW w:w="2209" w:type="pct"/>
            <w:tcBorders>
              <w:top w:val="single" w:color="auto" w:sz="4" w:space="0"/>
              <w:left w:val="nil"/>
              <w:bottom w:val="single" w:color="auto" w:sz="4" w:space="0"/>
              <w:right w:val="single" w:color="auto" w:sz="4" w:space="0"/>
            </w:tcBorders>
            <w:shd w:val="clear" w:color="000000" w:fill="FFFFFF"/>
            <w:noWrap w:val="0"/>
            <w:vAlign w:val="center"/>
          </w:tcPr>
          <w:p w14:paraId="0CA05E1E">
            <w:pPr>
              <w:pStyle w:val="17"/>
              <w:bidi w:val="0"/>
              <w:rPr>
                <w:rFonts w:hint="eastAsia"/>
              </w:rPr>
            </w:pPr>
            <w:r>
              <w:rPr>
                <w:rFonts w:hint="eastAsia"/>
              </w:rPr>
              <w:t>一些数据库内部对象和组件可能会因为各种原因导致失效，引起数据库一些内部操作出现问题，如常见的DBMS包失效导致AWR报告无法获取，数据泵备份报错等等，在巡检中发现该类问题，会对失效过程和组件进行修复，保证数据库组件和内部包功能有效，有用。</w:t>
            </w:r>
          </w:p>
        </w:tc>
        <w:tc>
          <w:tcPr>
            <w:tcW w:w="952" w:type="pct"/>
            <w:tcBorders>
              <w:top w:val="nil"/>
              <w:left w:val="nil"/>
              <w:bottom w:val="single" w:color="auto" w:sz="4" w:space="0"/>
              <w:right w:val="single" w:color="auto" w:sz="4" w:space="0"/>
            </w:tcBorders>
            <w:shd w:val="clear" w:color="000000" w:fill="FFFFFF"/>
            <w:noWrap w:val="0"/>
            <w:vAlign w:val="center"/>
          </w:tcPr>
          <w:p w14:paraId="77415AD8">
            <w:pPr>
              <w:pStyle w:val="17"/>
              <w:bidi w:val="0"/>
              <w:rPr>
                <w:rFonts w:hint="eastAsia"/>
              </w:rPr>
            </w:pPr>
            <w:r>
              <w:rPr>
                <w:rFonts w:hint="eastAsia"/>
              </w:rPr>
              <w:t>按用户要求提供</w:t>
            </w:r>
          </w:p>
        </w:tc>
        <w:tc>
          <w:tcPr>
            <w:tcW w:w="646" w:type="pct"/>
            <w:tcBorders>
              <w:top w:val="nil"/>
              <w:left w:val="nil"/>
              <w:bottom w:val="single" w:color="auto" w:sz="4" w:space="0"/>
              <w:right w:val="single" w:color="auto" w:sz="4" w:space="0"/>
            </w:tcBorders>
            <w:shd w:val="clear" w:color="000000" w:fill="FFFFFF"/>
            <w:noWrap w:val="0"/>
            <w:vAlign w:val="center"/>
          </w:tcPr>
          <w:p w14:paraId="1FB2D931">
            <w:pPr>
              <w:pStyle w:val="17"/>
              <w:bidi w:val="0"/>
              <w:rPr>
                <w:rFonts w:hint="eastAsia"/>
              </w:rPr>
            </w:pPr>
            <w:r>
              <w:rPr>
                <w:rFonts w:hint="eastAsia"/>
              </w:rPr>
              <w:t>远程</w:t>
            </w:r>
          </w:p>
        </w:tc>
      </w:tr>
      <w:tr w14:paraId="58467238">
        <w:tblPrEx>
          <w:tblCellMar>
            <w:top w:w="0" w:type="dxa"/>
            <w:left w:w="108" w:type="dxa"/>
            <w:bottom w:w="0" w:type="dxa"/>
            <w:right w:w="108" w:type="dxa"/>
          </w:tblCellMar>
        </w:tblPrEx>
        <w:trPr>
          <w:trHeight w:val="1803" w:hRule="atLeast"/>
        </w:trPr>
        <w:tc>
          <w:tcPr>
            <w:tcW w:w="536" w:type="pct"/>
            <w:vMerge w:val="continue"/>
            <w:tcBorders>
              <w:top w:val="nil"/>
              <w:left w:val="single" w:color="auto" w:sz="4" w:space="0"/>
              <w:bottom w:val="single" w:color="auto" w:sz="4" w:space="0"/>
              <w:right w:val="single" w:color="auto" w:sz="4" w:space="0"/>
            </w:tcBorders>
            <w:shd w:val="clear" w:color="auto" w:fill="auto"/>
            <w:noWrap w:val="0"/>
            <w:vAlign w:val="center"/>
          </w:tcPr>
          <w:p w14:paraId="4828062B">
            <w:pPr>
              <w:pStyle w:val="17"/>
              <w:bidi w:val="0"/>
              <w:rPr>
                <w:rFonts w:hint="eastAsia"/>
              </w:rPr>
            </w:pPr>
          </w:p>
        </w:tc>
        <w:tc>
          <w:tcPr>
            <w:tcW w:w="655" w:type="pct"/>
            <w:tcBorders>
              <w:top w:val="nil"/>
              <w:left w:val="nil"/>
              <w:bottom w:val="single" w:color="auto" w:sz="4" w:space="0"/>
              <w:right w:val="single" w:color="auto" w:sz="4" w:space="0"/>
            </w:tcBorders>
            <w:shd w:val="clear" w:color="000000" w:fill="FFFFFF"/>
            <w:noWrap w:val="0"/>
            <w:vAlign w:val="center"/>
          </w:tcPr>
          <w:p w14:paraId="5D5BAE8A">
            <w:pPr>
              <w:pStyle w:val="17"/>
              <w:bidi w:val="0"/>
              <w:rPr>
                <w:rFonts w:hint="eastAsia"/>
              </w:rPr>
            </w:pPr>
            <w:r>
              <w:rPr>
                <w:rFonts w:hint="eastAsia"/>
              </w:rPr>
              <w:t>数据灾难恢复服务</w:t>
            </w:r>
          </w:p>
        </w:tc>
        <w:tc>
          <w:tcPr>
            <w:tcW w:w="2209" w:type="pct"/>
            <w:tcBorders>
              <w:top w:val="single" w:color="auto" w:sz="4" w:space="0"/>
              <w:left w:val="nil"/>
              <w:bottom w:val="single" w:color="auto" w:sz="4" w:space="0"/>
              <w:right w:val="single" w:color="auto" w:sz="4" w:space="0"/>
            </w:tcBorders>
            <w:shd w:val="clear" w:color="000000" w:fill="FFFFFF"/>
            <w:noWrap w:val="0"/>
            <w:vAlign w:val="center"/>
          </w:tcPr>
          <w:p w14:paraId="236AF81D">
            <w:pPr>
              <w:pStyle w:val="17"/>
              <w:bidi w:val="0"/>
              <w:rPr>
                <w:rFonts w:hint="eastAsia"/>
              </w:rPr>
            </w:pPr>
            <w:r>
              <w:rPr>
                <w:rFonts w:hint="eastAsia"/>
              </w:rPr>
              <w:t>因支撑环境出现故障，如：停电，误操作，导致的数据库损坏，无法启动或无法登陆需要对应用数据库故障进行恢复处理，在0.5小时内切换容灾服务器，2小时内可提出解决方案，保证其恢复后，能正常使用。</w:t>
            </w:r>
          </w:p>
          <w:p w14:paraId="0041D8C2">
            <w:pPr>
              <w:pStyle w:val="17"/>
              <w:bidi w:val="0"/>
              <w:rPr>
                <w:rFonts w:hint="eastAsia"/>
              </w:rPr>
            </w:pPr>
          </w:p>
        </w:tc>
        <w:tc>
          <w:tcPr>
            <w:tcW w:w="952" w:type="pct"/>
            <w:tcBorders>
              <w:top w:val="nil"/>
              <w:left w:val="nil"/>
              <w:bottom w:val="single" w:color="auto" w:sz="4" w:space="0"/>
              <w:right w:val="single" w:color="auto" w:sz="4" w:space="0"/>
            </w:tcBorders>
            <w:shd w:val="clear" w:color="000000" w:fill="FFFFFF"/>
            <w:noWrap w:val="0"/>
            <w:vAlign w:val="center"/>
          </w:tcPr>
          <w:p w14:paraId="7C13D879">
            <w:pPr>
              <w:pStyle w:val="17"/>
              <w:bidi w:val="0"/>
              <w:rPr>
                <w:rFonts w:hint="eastAsia"/>
              </w:rPr>
            </w:pPr>
            <w:r>
              <w:rPr>
                <w:rFonts w:hint="eastAsia"/>
              </w:rPr>
              <w:t>按用户要求提供</w:t>
            </w:r>
          </w:p>
        </w:tc>
        <w:tc>
          <w:tcPr>
            <w:tcW w:w="646" w:type="pct"/>
            <w:tcBorders>
              <w:top w:val="nil"/>
              <w:left w:val="nil"/>
              <w:bottom w:val="single" w:color="auto" w:sz="4" w:space="0"/>
              <w:right w:val="single" w:color="auto" w:sz="4" w:space="0"/>
            </w:tcBorders>
            <w:shd w:val="clear" w:color="000000" w:fill="FFFFFF"/>
            <w:noWrap w:val="0"/>
            <w:vAlign w:val="center"/>
          </w:tcPr>
          <w:p w14:paraId="6419A7F1">
            <w:pPr>
              <w:pStyle w:val="17"/>
              <w:bidi w:val="0"/>
              <w:rPr>
                <w:rFonts w:hint="eastAsia"/>
              </w:rPr>
            </w:pPr>
            <w:r>
              <w:rPr>
                <w:rFonts w:hint="eastAsia"/>
              </w:rPr>
              <w:t>远程/现场</w:t>
            </w:r>
          </w:p>
        </w:tc>
      </w:tr>
      <w:tr w14:paraId="2A15EF1D">
        <w:tblPrEx>
          <w:tblCellMar>
            <w:top w:w="0" w:type="dxa"/>
            <w:left w:w="108" w:type="dxa"/>
            <w:bottom w:w="0" w:type="dxa"/>
            <w:right w:w="108" w:type="dxa"/>
          </w:tblCellMar>
        </w:tblPrEx>
        <w:trPr>
          <w:trHeight w:val="1803" w:hRule="atLeast"/>
        </w:trPr>
        <w:tc>
          <w:tcPr>
            <w:tcW w:w="536" w:type="pct"/>
            <w:vMerge w:val="continue"/>
            <w:tcBorders>
              <w:top w:val="nil"/>
              <w:left w:val="single" w:color="auto" w:sz="4" w:space="0"/>
              <w:bottom w:val="single" w:color="auto" w:sz="4" w:space="0"/>
              <w:right w:val="single" w:color="auto" w:sz="4" w:space="0"/>
            </w:tcBorders>
            <w:shd w:val="clear" w:color="auto" w:fill="auto"/>
            <w:noWrap w:val="0"/>
            <w:vAlign w:val="center"/>
          </w:tcPr>
          <w:p w14:paraId="26DCD848">
            <w:pPr>
              <w:pStyle w:val="17"/>
              <w:bidi w:val="0"/>
              <w:rPr>
                <w:rFonts w:hint="eastAsia"/>
              </w:rPr>
            </w:pPr>
          </w:p>
        </w:tc>
        <w:tc>
          <w:tcPr>
            <w:tcW w:w="655" w:type="pct"/>
            <w:tcBorders>
              <w:top w:val="nil"/>
              <w:left w:val="nil"/>
              <w:bottom w:val="single" w:color="auto" w:sz="4" w:space="0"/>
              <w:right w:val="single" w:color="auto" w:sz="4" w:space="0"/>
            </w:tcBorders>
            <w:shd w:val="clear" w:color="000000" w:fill="FFFFFF"/>
            <w:noWrap w:val="0"/>
            <w:vAlign w:val="center"/>
          </w:tcPr>
          <w:p w14:paraId="55D879F4">
            <w:pPr>
              <w:pStyle w:val="17"/>
              <w:bidi w:val="0"/>
              <w:rPr>
                <w:rFonts w:hint="default" w:eastAsiaTheme="minorEastAsia"/>
                <w:lang w:val="en-US" w:eastAsia="zh-CN"/>
              </w:rPr>
            </w:pPr>
            <w:r>
              <w:rPr>
                <w:rFonts w:hint="eastAsia"/>
                <w:lang w:val="en-US" w:eastAsia="zh-CN"/>
              </w:rPr>
              <w:t>操作系统恢复服务</w:t>
            </w:r>
          </w:p>
        </w:tc>
        <w:tc>
          <w:tcPr>
            <w:tcW w:w="2209" w:type="pct"/>
            <w:tcBorders>
              <w:top w:val="single" w:color="auto" w:sz="4" w:space="0"/>
              <w:left w:val="nil"/>
              <w:bottom w:val="single" w:color="auto" w:sz="4" w:space="0"/>
              <w:right w:val="single" w:color="auto" w:sz="4" w:space="0"/>
            </w:tcBorders>
            <w:shd w:val="clear" w:color="000000" w:fill="FFFFFF"/>
            <w:noWrap w:val="0"/>
            <w:vAlign w:val="center"/>
          </w:tcPr>
          <w:p w14:paraId="257EB495">
            <w:pPr>
              <w:pStyle w:val="17"/>
              <w:bidi w:val="0"/>
              <w:rPr>
                <w:rFonts w:hint="eastAsia" w:eastAsiaTheme="minorEastAsia"/>
                <w:lang w:val="en-US" w:eastAsia="zh-CN"/>
              </w:rPr>
            </w:pPr>
            <w:r>
              <w:rPr>
                <w:rFonts w:hint="eastAsia"/>
                <w:lang w:val="en-US" w:eastAsia="zh-CN"/>
              </w:rPr>
              <w:t>当操作系统崩溃时，能在1小时内</w:t>
            </w:r>
            <w:r>
              <w:rPr>
                <w:rFonts w:hint="eastAsia"/>
              </w:rPr>
              <w:t>快速定位并解决系统崩溃、服务宕机等问题，采用隔离、重启、降级等策略恢复业务优先。</w:t>
            </w:r>
            <w:r>
              <w:rPr>
                <w:rFonts w:hint="eastAsia"/>
                <w:lang w:val="en-US" w:eastAsia="zh-CN"/>
              </w:rPr>
              <w:t>并且制定操作系统应急预案，</w:t>
            </w:r>
            <w:r>
              <w:rPr>
                <w:rFonts w:hint="eastAsia"/>
              </w:rPr>
              <w:t>处理安全事件（如入侵、攻击）和突发故障，最小化业务影响</w:t>
            </w:r>
            <w:r>
              <w:rPr>
                <w:rFonts w:hint="eastAsia"/>
                <w:lang w:eastAsia="zh-CN"/>
              </w:rPr>
              <w:t>。</w:t>
            </w:r>
          </w:p>
        </w:tc>
        <w:tc>
          <w:tcPr>
            <w:tcW w:w="952" w:type="pct"/>
            <w:tcBorders>
              <w:top w:val="nil"/>
              <w:left w:val="nil"/>
              <w:bottom w:val="single" w:color="auto" w:sz="4" w:space="0"/>
              <w:right w:val="single" w:color="auto" w:sz="4" w:space="0"/>
            </w:tcBorders>
            <w:shd w:val="clear" w:color="000000" w:fill="FFFFFF"/>
            <w:noWrap w:val="0"/>
            <w:vAlign w:val="center"/>
          </w:tcPr>
          <w:p w14:paraId="4071CF61">
            <w:pPr>
              <w:pStyle w:val="17"/>
              <w:bidi w:val="0"/>
              <w:ind w:left="31" w:leftChars="15" w:right="31" w:rightChars="15"/>
              <w:rPr>
                <w:rFonts w:hint="eastAsia" w:asciiTheme="minorAscii" w:hAnsiTheme="minorAscii" w:eastAsiaTheme="minorEastAsia" w:cstheme="minorBidi"/>
                <w:sz w:val="21"/>
              </w:rPr>
            </w:pPr>
            <w:r>
              <w:rPr>
                <w:rFonts w:hint="eastAsia"/>
              </w:rPr>
              <w:t>按用户要求提供</w:t>
            </w:r>
          </w:p>
        </w:tc>
        <w:tc>
          <w:tcPr>
            <w:tcW w:w="646" w:type="pct"/>
            <w:tcBorders>
              <w:top w:val="nil"/>
              <w:left w:val="nil"/>
              <w:bottom w:val="single" w:color="auto" w:sz="4" w:space="0"/>
              <w:right w:val="single" w:color="auto" w:sz="4" w:space="0"/>
            </w:tcBorders>
            <w:shd w:val="clear" w:color="000000" w:fill="FFFFFF"/>
            <w:noWrap w:val="0"/>
            <w:vAlign w:val="center"/>
          </w:tcPr>
          <w:p w14:paraId="0CAFB846">
            <w:pPr>
              <w:pStyle w:val="17"/>
              <w:bidi w:val="0"/>
              <w:ind w:left="31" w:leftChars="15" w:right="31" w:rightChars="15"/>
              <w:rPr>
                <w:rFonts w:hint="eastAsia" w:asciiTheme="minorAscii" w:hAnsiTheme="minorAscii" w:eastAsiaTheme="minorEastAsia" w:cstheme="minorBidi"/>
                <w:sz w:val="21"/>
              </w:rPr>
            </w:pPr>
            <w:r>
              <w:rPr>
                <w:rFonts w:hint="eastAsia"/>
              </w:rPr>
              <w:t>远程/现场</w:t>
            </w:r>
          </w:p>
        </w:tc>
      </w:tr>
      <w:tr w14:paraId="5D4F1AAB">
        <w:tblPrEx>
          <w:tblCellMar>
            <w:top w:w="0" w:type="dxa"/>
            <w:left w:w="108" w:type="dxa"/>
            <w:bottom w:w="0" w:type="dxa"/>
            <w:right w:w="108" w:type="dxa"/>
          </w:tblCellMar>
        </w:tblPrEx>
        <w:trPr>
          <w:trHeight w:val="1124" w:hRule="atLeast"/>
        </w:trPr>
        <w:tc>
          <w:tcPr>
            <w:tcW w:w="536" w:type="pct"/>
            <w:vMerge w:val="continue"/>
            <w:tcBorders>
              <w:top w:val="nil"/>
              <w:left w:val="single" w:color="auto" w:sz="4" w:space="0"/>
              <w:bottom w:val="single" w:color="auto" w:sz="4" w:space="0"/>
              <w:right w:val="single" w:color="auto" w:sz="4" w:space="0"/>
            </w:tcBorders>
            <w:shd w:val="clear" w:color="auto" w:fill="auto"/>
            <w:noWrap w:val="0"/>
            <w:vAlign w:val="center"/>
          </w:tcPr>
          <w:p w14:paraId="190A82D1">
            <w:pPr>
              <w:pStyle w:val="17"/>
              <w:bidi w:val="0"/>
              <w:rPr>
                <w:rFonts w:hint="eastAsia"/>
              </w:rPr>
            </w:pPr>
          </w:p>
        </w:tc>
        <w:tc>
          <w:tcPr>
            <w:tcW w:w="655" w:type="pct"/>
            <w:tcBorders>
              <w:top w:val="nil"/>
              <w:left w:val="nil"/>
              <w:bottom w:val="single" w:color="auto" w:sz="4" w:space="0"/>
              <w:right w:val="single" w:color="auto" w:sz="4" w:space="0"/>
            </w:tcBorders>
            <w:shd w:val="clear" w:color="000000" w:fill="FFFFFF"/>
            <w:noWrap w:val="0"/>
            <w:vAlign w:val="center"/>
          </w:tcPr>
          <w:p w14:paraId="64DF8BC3">
            <w:pPr>
              <w:pStyle w:val="17"/>
              <w:bidi w:val="0"/>
              <w:rPr>
                <w:rFonts w:hint="eastAsia"/>
              </w:rPr>
            </w:pPr>
            <w:r>
              <w:rPr>
                <w:rFonts w:hint="eastAsia"/>
              </w:rPr>
              <w:t>数据安全检测</w:t>
            </w:r>
          </w:p>
        </w:tc>
        <w:tc>
          <w:tcPr>
            <w:tcW w:w="2209" w:type="pct"/>
            <w:tcBorders>
              <w:top w:val="single" w:color="auto" w:sz="4" w:space="0"/>
              <w:left w:val="nil"/>
              <w:bottom w:val="single" w:color="auto" w:sz="4" w:space="0"/>
              <w:right w:val="single" w:color="auto" w:sz="4" w:space="0"/>
            </w:tcBorders>
            <w:shd w:val="clear" w:color="000000" w:fill="FFFFFF"/>
            <w:noWrap w:val="0"/>
            <w:vAlign w:val="center"/>
          </w:tcPr>
          <w:p w14:paraId="2A974FB2">
            <w:pPr>
              <w:pStyle w:val="17"/>
              <w:bidi w:val="0"/>
              <w:rPr>
                <w:rFonts w:hint="eastAsia"/>
              </w:rPr>
            </w:pPr>
            <w:r>
              <w:rPr>
                <w:rFonts w:hint="eastAsia"/>
              </w:rPr>
              <w:t>采集用户生产数据库负载、备份情况、告警日志等内容，采集结果如有异常，及时通知用户。</w:t>
            </w:r>
          </w:p>
        </w:tc>
        <w:tc>
          <w:tcPr>
            <w:tcW w:w="952" w:type="pct"/>
            <w:tcBorders>
              <w:top w:val="nil"/>
              <w:left w:val="nil"/>
              <w:bottom w:val="single" w:color="auto" w:sz="4" w:space="0"/>
              <w:right w:val="single" w:color="auto" w:sz="4" w:space="0"/>
            </w:tcBorders>
            <w:shd w:val="clear" w:color="000000" w:fill="FFFFFF"/>
            <w:noWrap w:val="0"/>
            <w:vAlign w:val="center"/>
          </w:tcPr>
          <w:p w14:paraId="0A6A7C67">
            <w:pPr>
              <w:pStyle w:val="17"/>
              <w:bidi w:val="0"/>
              <w:rPr>
                <w:rFonts w:hint="eastAsia"/>
              </w:rPr>
            </w:pPr>
            <w:r>
              <w:rPr>
                <w:rFonts w:hint="eastAsia"/>
              </w:rPr>
              <w:t>1次/季度</w:t>
            </w:r>
          </w:p>
        </w:tc>
        <w:tc>
          <w:tcPr>
            <w:tcW w:w="646" w:type="pct"/>
            <w:tcBorders>
              <w:top w:val="nil"/>
              <w:left w:val="nil"/>
              <w:bottom w:val="single" w:color="auto" w:sz="4" w:space="0"/>
              <w:right w:val="single" w:color="auto" w:sz="4" w:space="0"/>
            </w:tcBorders>
            <w:shd w:val="clear" w:color="000000" w:fill="FFFFFF"/>
            <w:noWrap w:val="0"/>
            <w:vAlign w:val="center"/>
          </w:tcPr>
          <w:p w14:paraId="0C975F99">
            <w:pPr>
              <w:pStyle w:val="17"/>
              <w:bidi w:val="0"/>
              <w:rPr>
                <w:rFonts w:hint="eastAsia"/>
              </w:rPr>
            </w:pPr>
            <w:r>
              <w:rPr>
                <w:rFonts w:hint="eastAsia"/>
              </w:rPr>
              <w:t>远程</w:t>
            </w:r>
          </w:p>
        </w:tc>
      </w:tr>
      <w:tr w14:paraId="379E128E">
        <w:tblPrEx>
          <w:tblCellMar>
            <w:top w:w="0" w:type="dxa"/>
            <w:left w:w="108" w:type="dxa"/>
            <w:bottom w:w="0" w:type="dxa"/>
            <w:right w:w="108" w:type="dxa"/>
          </w:tblCellMar>
        </w:tblPrEx>
        <w:trPr>
          <w:trHeight w:val="1124" w:hRule="atLeast"/>
        </w:trPr>
        <w:tc>
          <w:tcPr>
            <w:tcW w:w="536" w:type="pct"/>
            <w:vMerge w:val="continue"/>
            <w:tcBorders>
              <w:top w:val="nil"/>
              <w:left w:val="single" w:color="auto" w:sz="4" w:space="0"/>
              <w:bottom w:val="single" w:color="auto" w:sz="4" w:space="0"/>
              <w:right w:val="single" w:color="auto" w:sz="4" w:space="0"/>
            </w:tcBorders>
            <w:shd w:val="clear" w:color="auto" w:fill="auto"/>
            <w:noWrap w:val="0"/>
            <w:vAlign w:val="center"/>
          </w:tcPr>
          <w:p w14:paraId="122540A5">
            <w:pPr>
              <w:pStyle w:val="17"/>
              <w:bidi w:val="0"/>
              <w:rPr>
                <w:rFonts w:hint="eastAsia"/>
              </w:rPr>
            </w:pPr>
          </w:p>
        </w:tc>
        <w:tc>
          <w:tcPr>
            <w:tcW w:w="655" w:type="pct"/>
            <w:tcBorders>
              <w:top w:val="nil"/>
              <w:left w:val="nil"/>
              <w:bottom w:val="single" w:color="auto" w:sz="4" w:space="0"/>
              <w:right w:val="single" w:color="auto" w:sz="4" w:space="0"/>
            </w:tcBorders>
            <w:shd w:val="clear" w:color="000000" w:fill="FFFFFF"/>
            <w:noWrap w:val="0"/>
            <w:vAlign w:val="center"/>
          </w:tcPr>
          <w:p w14:paraId="418155A5">
            <w:pPr>
              <w:pStyle w:val="17"/>
              <w:bidi w:val="0"/>
              <w:rPr>
                <w:rFonts w:hint="default" w:eastAsiaTheme="minorEastAsia"/>
                <w:lang w:val="en-US" w:eastAsia="zh-CN"/>
              </w:rPr>
            </w:pPr>
            <w:r>
              <w:rPr>
                <w:rFonts w:hint="eastAsia"/>
                <w:lang w:val="en-US" w:eastAsia="zh-CN"/>
              </w:rPr>
              <w:t>操作系统网络安全服务</w:t>
            </w:r>
          </w:p>
        </w:tc>
        <w:tc>
          <w:tcPr>
            <w:tcW w:w="2209" w:type="pct"/>
            <w:tcBorders>
              <w:top w:val="single" w:color="auto" w:sz="4" w:space="0"/>
              <w:left w:val="nil"/>
              <w:bottom w:val="single" w:color="auto" w:sz="4" w:space="0"/>
              <w:right w:val="single" w:color="auto" w:sz="4" w:space="0"/>
            </w:tcBorders>
            <w:shd w:val="clear" w:color="000000" w:fill="FFFFFF"/>
            <w:noWrap w:val="0"/>
            <w:vAlign w:val="center"/>
          </w:tcPr>
          <w:p w14:paraId="4C47C079">
            <w:pPr>
              <w:pStyle w:val="17"/>
              <w:bidi w:val="0"/>
              <w:rPr>
                <w:rFonts w:hint="eastAsia"/>
              </w:rPr>
            </w:pPr>
            <w:r>
              <w:rPr>
                <w:rFonts w:hint="eastAsia"/>
              </w:rPr>
              <w:t>关闭非必要端口和服务，设置防火墙规则，增强系统抗攻击能力。</w:t>
            </w:r>
          </w:p>
          <w:p w14:paraId="3CE1F3C5">
            <w:pPr>
              <w:pStyle w:val="17"/>
              <w:bidi w:val="0"/>
              <w:rPr>
                <w:rFonts w:hint="eastAsia"/>
              </w:rPr>
            </w:pPr>
            <w:r>
              <w:rPr>
                <w:rFonts w:hint="eastAsia"/>
              </w:rPr>
              <w:t>定期扫描CVE漏洞，部署安全补丁，进行渗透测试与风险评估。</w:t>
            </w:r>
          </w:p>
          <w:p w14:paraId="4C49E4A0">
            <w:pPr>
              <w:pStyle w:val="17"/>
              <w:bidi w:val="0"/>
              <w:rPr>
                <w:rFonts w:hint="eastAsia"/>
              </w:rPr>
            </w:pPr>
            <w:r>
              <w:rPr>
                <w:rFonts w:hint="eastAsia"/>
              </w:rPr>
              <w:t>实施RBAC（基于角色的访问控制）模型，审计用户操作行为，拦截危险命令。</w:t>
            </w:r>
          </w:p>
        </w:tc>
        <w:tc>
          <w:tcPr>
            <w:tcW w:w="952" w:type="pct"/>
            <w:tcBorders>
              <w:top w:val="nil"/>
              <w:left w:val="nil"/>
              <w:bottom w:val="single" w:color="auto" w:sz="4" w:space="0"/>
              <w:right w:val="single" w:color="auto" w:sz="4" w:space="0"/>
            </w:tcBorders>
            <w:shd w:val="clear" w:color="000000" w:fill="FFFFFF"/>
            <w:noWrap w:val="0"/>
            <w:vAlign w:val="center"/>
          </w:tcPr>
          <w:p w14:paraId="35E3DF22">
            <w:pPr>
              <w:pStyle w:val="17"/>
              <w:bidi w:val="0"/>
              <w:ind w:left="31" w:leftChars="15" w:right="31" w:rightChars="15"/>
              <w:rPr>
                <w:rFonts w:hint="eastAsia" w:asciiTheme="minorAscii" w:hAnsiTheme="minorAscii" w:eastAsiaTheme="minorEastAsia" w:cstheme="minorBidi"/>
                <w:sz w:val="21"/>
              </w:rPr>
            </w:pPr>
            <w:r>
              <w:rPr>
                <w:rFonts w:hint="eastAsia"/>
              </w:rPr>
              <w:t>按用户要求提供</w:t>
            </w:r>
          </w:p>
        </w:tc>
        <w:tc>
          <w:tcPr>
            <w:tcW w:w="646" w:type="pct"/>
            <w:tcBorders>
              <w:top w:val="nil"/>
              <w:left w:val="nil"/>
              <w:bottom w:val="single" w:color="auto" w:sz="4" w:space="0"/>
              <w:right w:val="single" w:color="auto" w:sz="4" w:space="0"/>
            </w:tcBorders>
            <w:shd w:val="clear" w:color="000000" w:fill="FFFFFF"/>
            <w:noWrap w:val="0"/>
            <w:vAlign w:val="center"/>
          </w:tcPr>
          <w:p w14:paraId="25DD5236">
            <w:pPr>
              <w:pStyle w:val="17"/>
              <w:bidi w:val="0"/>
              <w:ind w:left="31" w:leftChars="15" w:right="31" w:rightChars="15"/>
              <w:rPr>
                <w:rFonts w:hint="eastAsia" w:asciiTheme="minorAscii" w:hAnsiTheme="minorAscii" w:eastAsiaTheme="minorEastAsia" w:cstheme="minorBidi"/>
                <w:sz w:val="21"/>
              </w:rPr>
            </w:pPr>
            <w:r>
              <w:rPr>
                <w:rFonts w:hint="eastAsia"/>
              </w:rPr>
              <w:t>远程/现场</w:t>
            </w:r>
          </w:p>
        </w:tc>
      </w:tr>
      <w:tr w14:paraId="2D60479F">
        <w:tblPrEx>
          <w:tblCellMar>
            <w:top w:w="0" w:type="dxa"/>
            <w:left w:w="108" w:type="dxa"/>
            <w:bottom w:w="0" w:type="dxa"/>
            <w:right w:w="108" w:type="dxa"/>
          </w:tblCellMar>
        </w:tblPrEx>
        <w:trPr>
          <w:trHeight w:val="699" w:hRule="atLeast"/>
        </w:trPr>
        <w:tc>
          <w:tcPr>
            <w:tcW w:w="536" w:type="pct"/>
            <w:vMerge w:val="continue"/>
            <w:tcBorders>
              <w:top w:val="nil"/>
              <w:left w:val="single" w:color="auto" w:sz="4" w:space="0"/>
              <w:bottom w:val="single" w:color="auto" w:sz="4" w:space="0"/>
              <w:right w:val="single" w:color="auto" w:sz="4" w:space="0"/>
            </w:tcBorders>
            <w:shd w:val="clear" w:color="auto" w:fill="auto"/>
            <w:noWrap w:val="0"/>
            <w:vAlign w:val="center"/>
          </w:tcPr>
          <w:p w14:paraId="3CC41F5E">
            <w:pPr>
              <w:pStyle w:val="17"/>
              <w:bidi w:val="0"/>
              <w:rPr>
                <w:rFonts w:hint="eastAsia"/>
              </w:rPr>
            </w:pPr>
          </w:p>
        </w:tc>
        <w:tc>
          <w:tcPr>
            <w:tcW w:w="655" w:type="pct"/>
            <w:tcBorders>
              <w:top w:val="nil"/>
              <w:left w:val="nil"/>
              <w:bottom w:val="single" w:color="auto" w:sz="4" w:space="0"/>
              <w:right w:val="single" w:color="auto" w:sz="4" w:space="0"/>
            </w:tcBorders>
            <w:shd w:val="clear" w:color="000000" w:fill="FFFFFF"/>
            <w:noWrap w:val="0"/>
            <w:vAlign w:val="center"/>
          </w:tcPr>
          <w:p w14:paraId="357E15F3">
            <w:pPr>
              <w:pStyle w:val="17"/>
              <w:bidi w:val="0"/>
              <w:rPr>
                <w:rFonts w:hint="eastAsia"/>
              </w:rPr>
            </w:pPr>
            <w:r>
              <w:rPr>
                <w:rFonts w:hint="eastAsia"/>
              </w:rPr>
              <w:t>数据库安全巡检服务</w:t>
            </w:r>
          </w:p>
        </w:tc>
        <w:tc>
          <w:tcPr>
            <w:tcW w:w="2209" w:type="pct"/>
            <w:tcBorders>
              <w:top w:val="single" w:color="auto" w:sz="4" w:space="0"/>
              <w:left w:val="nil"/>
              <w:bottom w:val="single" w:color="auto" w:sz="4" w:space="0"/>
              <w:right w:val="single" w:color="auto" w:sz="4" w:space="0"/>
            </w:tcBorders>
            <w:shd w:val="clear" w:color="000000" w:fill="FFFFFF"/>
            <w:noWrap w:val="0"/>
            <w:vAlign w:val="center"/>
          </w:tcPr>
          <w:p w14:paraId="0276CDE6">
            <w:pPr>
              <w:pStyle w:val="17"/>
              <w:bidi w:val="0"/>
              <w:rPr>
                <w:rFonts w:hint="eastAsia"/>
              </w:rPr>
            </w:pPr>
            <w:r>
              <w:rPr>
                <w:rFonts w:hint="eastAsia"/>
              </w:rPr>
              <w:t>DBA人员现场对于用户进行的例行巡检工作，对服务器安全指标：硬盘可用空间，CPU使用率，内存使用率，磁盘IO利用率，服务器网络利用率，操作系统检查;对数据库安全指标：参数文件，控制文件，表空间使用率，表空间增长趋势，临时表空间，redo在线日志，归档有效性，备份检查，数据表统计信息，数据库组件有效性，勒索病毒，数据库告警日志，监听日志进行检查。出具符合规范的巡检报告。</w:t>
            </w:r>
          </w:p>
        </w:tc>
        <w:tc>
          <w:tcPr>
            <w:tcW w:w="952" w:type="pct"/>
            <w:tcBorders>
              <w:top w:val="nil"/>
              <w:left w:val="nil"/>
              <w:bottom w:val="single" w:color="auto" w:sz="4" w:space="0"/>
              <w:right w:val="single" w:color="auto" w:sz="4" w:space="0"/>
            </w:tcBorders>
            <w:shd w:val="clear" w:color="000000" w:fill="FFFFFF"/>
            <w:noWrap w:val="0"/>
            <w:vAlign w:val="center"/>
          </w:tcPr>
          <w:p w14:paraId="533A3512">
            <w:pPr>
              <w:pStyle w:val="17"/>
              <w:bidi w:val="0"/>
              <w:rPr>
                <w:rFonts w:hint="eastAsia"/>
              </w:rPr>
            </w:pPr>
            <w:r>
              <w:rPr>
                <w:rFonts w:hint="eastAsia"/>
              </w:rPr>
              <w:t>1次/季度</w:t>
            </w:r>
          </w:p>
        </w:tc>
        <w:tc>
          <w:tcPr>
            <w:tcW w:w="646" w:type="pct"/>
            <w:tcBorders>
              <w:top w:val="nil"/>
              <w:left w:val="nil"/>
              <w:bottom w:val="single" w:color="auto" w:sz="4" w:space="0"/>
              <w:right w:val="single" w:color="auto" w:sz="4" w:space="0"/>
            </w:tcBorders>
            <w:shd w:val="clear" w:color="000000" w:fill="FFFFFF"/>
            <w:noWrap w:val="0"/>
            <w:vAlign w:val="center"/>
          </w:tcPr>
          <w:p w14:paraId="797DC3CA">
            <w:pPr>
              <w:pStyle w:val="17"/>
              <w:bidi w:val="0"/>
              <w:rPr>
                <w:rFonts w:hint="eastAsia"/>
              </w:rPr>
            </w:pPr>
            <w:r>
              <w:rPr>
                <w:rFonts w:hint="eastAsia"/>
              </w:rPr>
              <w:t>远程/现场</w:t>
            </w:r>
          </w:p>
        </w:tc>
      </w:tr>
      <w:tr w14:paraId="4078043B">
        <w:tblPrEx>
          <w:tblCellMar>
            <w:top w:w="0" w:type="dxa"/>
            <w:left w:w="108" w:type="dxa"/>
            <w:bottom w:w="0" w:type="dxa"/>
            <w:right w:w="108" w:type="dxa"/>
          </w:tblCellMar>
        </w:tblPrEx>
        <w:trPr>
          <w:trHeight w:val="1785" w:hRule="atLeast"/>
        </w:trPr>
        <w:tc>
          <w:tcPr>
            <w:tcW w:w="536" w:type="pct"/>
            <w:vMerge w:val="continue"/>
            <w:tcBorders>
              <w:top w:val="nil"/>
              <w:left w:val="single" w:color="auto" w:sz="4" w:space="0"/>
              <w:bottom w:val="single" w:color="auto" w:sz="4" w:space="0"/>
              <w:right w:val="single" w:color="auto" w:sz="4" w:space="0"/>
            </w:tcBorders>
            <w:shd w:val="clear" w:color="auto" w:fill="auto"/>
            <w:noWrap w:val="0"/>
            <w:vAlign w:val="center"/>
          </w:tcPr>
          <w:p w14:paraId="16E12AE5">
            <w:pPr>
              <w:pStyle w:val="17"/>
              <w:bidi w:val="0"/>
              <w:rPr>
                <w:rFonts w:hint="eastAsia"/>
              </w:rPr>
            </w:pPr>
          </w:p>
        </w:tc>
        <w:tc>
          <w:tcPr>
            <w:tcW w:w="655" w:type="pct"/>
            <w:tcBorders>
              <w:top w:val="nil"/>
              <w:left w:val="nil"/>
              <w:bottom w:val="single" w:color="auto" w:sz="4" w:space="0"/>
              <w:right w:val="single" w:color="auto" w:sz="4" w:space="0"/>
            </w:tcBorders>
            <w:shd w:val="clear" w:color="000000" w:fill="FFFFFF"/>
            <w:noWrap w:val="0"/>
            <w:vAlign w:val="center"/>
          </w:tcPr>
          <w:p w14:paraId="763E2E59">
            <w:pPr>
              <w:pStyle w:val="17"/>
              <w:bidi w:val="0"/>
              <w:rPr>
                <w:rFonts w:hint="eastAsia"/>
              </w:rPr>
            </w:pPr>
            <w:r>
              <w:rPr>
                <w:rFonts w:hint="eastAsia"/>
              </w:rPr>
              <w:t>SQL性能诊断和优化</w:t>
            </w:r>
          </w:p>
        </w:tc>
        <w:tc>
          <w:tcPr>
            <w:tcW w:w="2209" w:type="pct"/>
            <w:tcBorders>
              <w:top w:val="single" w:color="auto" w:sz="4" w:space="0"/>
              <w:left w:val="nil"/>
              <w:bottom w:val="single" w:color="auto" w:sz="4" w:space="0"/>
              <w:right w:val="single" w:color="auto" w:sz="4" w:space="0"/>
            </w:tcBorders>
            <w:shd w:val="clear" w:color="000000" w:fill="FFFFFF"/>
            <w:noWrap w:val="0"/>
            <w:vAlign w:val="center"/>
          </w:tcPr>
          <w:p w14:paraId="70ABE8A5">
            <w:pPr>
              <w:pStyle w:val="17"/>
              <w:bidi w:val="0"/>
              <w:rPr>
                <w:rFonts w:hint="eastAsia"/>
              </w:rPr>
            </w:pPr>
            <w:r>
              <w:rPr>
                <w:rFonts w:hint="eastAsia"/>
              </w:rPr>
              <w:t>对数据库性能进行跟踪监控，信息采集保存。出现某个操作卡顿，业务突然变慢，SQL执行效率低下的情况，根据现象在数据库层面进行分析诊断，定位问题可能出现的原因，可在2小时内提出必要的优化与调整的解决方案。</w:t>
            </w:r>
          </w:p>
        </w:tc>
        <w:tc>
          <w:tcPr>
            <w:tcW w:w="952" w:type="pct"/>
            <w:tcBorders>
              <w:top w:val="nil"/>
              <w:left w:val="nil"/>
              <w:bottom w:val="single" w:color="auto" w:sz="4" w:space="0"/>
              <w:right w:val="single" w:color="auto" w:sz="4" w:space="0"/>
            </w:tcBorders>
            <w:shd w:val="clear" w:color="000000" w:fill="FFFFFF"/>
            <w:noWrap w:val="0"/>
            <w:vAlign w:val="center"/>
          </w:tcPr>
          <w:p w14:paraId="33E4315C">
            <w:pPr>
              <w:pStyle w:val="17"/>
              <w:bidi w:val="0"/>
              <w:rPr>
                <w:rFonts w:hint="eastAsia"/>
              </w:rPr>
            </w:pPr>
            <w:r>
              <w:rPr>
                <w:rFonts w:hint="eastAsia"/>
              </w:rPr>
              <w:t>不限次数</w:t>
            </w:r>
          </w:p>
        </w:tc>
        <w:tc>
          <w:tcPr>
            <w:tcW w:w="646" w:type="pct"/>
            <w:tcBorders>
              <w:top w:val="nil"/>
              <w:left w:val="nil"/>
              <w:bottom w:val="single" w:color="auto" w:sz="4" w:space="0"/>
              <w:right w:val="single" w:color="auto" w:sz="4" w:space="0"/>
            </w:tcBorders>
            <w:shd w:val="clear" w:color="000000" w:fill="FFFFFF"/>
            <w:noWrap w:val="0"/>
            <w:vAlign w:val="center"/>
          </w:tcPr>
          <w:p w14:paraId="74176ED2">
            <w:pPr>
              <w:pStyle w:val="17"/>
              <w:bidi w:val="0"/>
              <w:rPr>
                <w:rFonts w:hint="eastAsia"/>
              </w:rPr>
            </w:pPr>
            <w:r>
              <w:rPr>
                <w:rFonts w:hint="eastAsia"/>
              </w:rPr>
              <w:t>远程</w:t>
            </w:r>
          </w:p>
        </w:tc>
      </w:tr>
      <w:tr w14:paraId="19BA2656">
        <w:tblPrEx>
          <w:tblCellMar>
            <w:top w:w="0" w:type="dxa"/>
            <w:left w:w="108" w:type="dxa"/>
            <w:bottom w:w="0" w:type="dxa"/>
            <w:right w:w="108" w:type="dxa"/>
          </w:tblCellMar>
        </w:tblPrEx>
        <w:trPr>
          <w:trHeight w:val="1457" w:hRule="atLeast"/>
        </w:trPr>
        <w:tc>
          <w:tcPr>
            <w:tcW w:w="536" w:type="pct"/>
            <w:vMerge w:val="continue"/>
            <w:tcBorders>
              <w:top w:val="nil"/>
              <w:left w:val="single" w:color="auto" w:sz="4" w:space="0"/>
              <w:bottom w:val="single" w:color="auto" w:sz="4" w:space="0"/>
              <w:right w:val="single" w:color="auto" w:sz="4" w:space="0"/>
            </w:tcBorders>
            <w:shd w:val="clear" w:color="auto" w:fill="auto"/>
            <w:noWrap w:val="0"/>
            <w:vAlign w:val="center"/>
          </w:tcPr>
          <w:p w14:paraId="2F6B8D04">
            <w:pPr>
              <w:pStyle w:val="17"/>
              <w:bidi w:val="0"/>
              <w:rPr>
                <w:rFonts w:hint="eastAsia"/>
              </w:rPr>
            </w:pPr>
          </w:p>
        </w:tc>
        <w:tc>
          <w:tcPr>
            <w:tcW w:w="655" w:type="pct"/>
            <w:tcBorders>
              <w:top w:val="nil"/>
              <w:left w:val="nil"/>
              <w:bottom w:val="single" w:color="auto" w:sz="4" w:space="0"/>
              <w:right w:val="single" w:color="auto" w:sz="4" w:space="0"/>
            </w:tcBorders>
            <w:shd w:val="clear" w:color="000000" w:fill="FFFFFF"/>
            <w:noWrap w:val="0"/>
            <w:vAlign w:val="center"/>
          </w:tcPr>
          <w:p w14:paraId="79497AAB">
            <w:pPr>
              <w:pStyle w:val="17"/>
              <w:bidi w:val="0"/>
              <w:rPr>
                <w:rFonts w:hint="eastAsia"/>
              </w:rPr>
            </w:pPr>
            <w:r>
              <w:rPr>
                <w:rFonts w:hint="eastAsia"/>
              </w:rPr>
              <w:t>数据库漏洞和安全补丁服务</w:t>
            </w:r>
          </w:p>
        </w:tc>
        <w:tc>
          <w:tcPr>
            <w:tcW w:w="2209" w:type="pct"/>
            <w:tcBorders>
              <w:top w:val="single" w:color="auto" w:sz="4" w:space="0"/>
              <w:left w:val="nil"/>
              <w:bottom w:val="single" w:color="auto" w:sz="4" w:space="0"/>
              <w:right w:val="single" w:color="auto" w:sz="4" w:space="0"/>
            </w:tcBorders>
            <w:shd w:val="clear" w:color="000000" w:fill="FFFFFF"/>
            <w:noWrap w:val="0"/>
            <w:vAlign w:val="center"/>
          </w:tcPr>
          <w:p w14:paraId="3D6E2496">
            <w:pPr>
              <w:pStyle w:val="17"/>
              <w:bidi w:val="0"/>
              <w:rPr>
                <w:rFonts w:hint="eastAsia"/>
              </w:rPr>
            </w:pPr>
            <w:r>
              <w:rPr>
                <w:rFonts w:hint="eastAsia"/>
              </w:rPr>
              <w:t>根据用户过等保评审的需求或者安全公司漏洞扫描的需求，给用户部署最新的漏洞和安全补丁，保证用户的数据库安全符合等保要求。</w:t>
            </w:r>
          </w:p>
        </w:tc>
        <w:tc>
          <w:tcPr>
            <w:tcW w:w="952" w:type="pct"/>
            <w:tcBorders>
              <w:top w:val="nil"/>
              <w:left w:val="nil"/>
              <w:bottom w:val="single" w:color="auto" w:sz="4" w:space="0"/>
              <w:right w:val="single" w:color="auto" w:sz="4" w:space="0"/>
            </w:tcBorders>
            <w:shd w:val="clear" w:color="000000" w:fill="FFFFFF"/>
            <w:noWrap w:val="0"/>
            <w:vAlign w:val="center"/>
          </w:tcPr>
          <w:p w14:paraId="189D6C05">
            <w:pPr>
              <w:pStyle w:val="17"/>
              <w:bidi w:val="0"/>
              <w:rPr>
                <w:rFonts w:hint="eastAsia"/>
              </w:rPr>
            </w:pPr>
            <w:r>
              <w:rPr>
                <w:rFonts w:hint="eastAsia"/>
              </w:rPr>
              <w:t>按用户要求提供</w:t>
            </w:r>
          </w:p>
        </w:tc>
        <w:tc>
          <w:tcPr>
            <w:tcW w:w="646" w:type="pct"/>
            <w:tcBorders>
              <w:top w:val="nil"/>
              <w:left w:val="nil"/>
              <w:bottom w:val="single" w:color="auto" w:sz="4" w:space="0"/>
              <w:right w:val="single" w:color="auto" w:sz="4" w:space="0"/>
            </w:tcBorders>
            <w:shd w:val="clear" w:color="000000" w:fill="FFFFFF"/>
            <w:noWrap w:val="0"/>
            <w:vAlign w:val="center"/>
          </w:tcPr>
          <w:p w14:paraId="17CB6D85">
            <w:pPr>
              <w:pStyle w:val="17"/>
              <w:bidi w:val="0"/>
              <w:rPr>
                <w:rFonts w:hint="eastAsia"/>
              </w:rPr>
            </w:pPr>
            <w:r>
              <w:rPr>
                <w:rFonts w:hint="eastAsia"/>
              </w:rPr>
              <w:t>远程/现场</w:t>
            </w:r>
          </w:p>
        </w:tc>
      </w:tr>
      <w:tr w14:paraId="169C8921">
        <w:tblPrEx>
          <w:tblCellMar>
            <w:top w:w="0" w:type="dxa"/>
            <w:left w:w="108" w:type="dxa"/>
            <w:bottom w:w="0" w:type="dxa"/>
            <w:right w:w="108" w:type="dxa"/>
          </w:tblCellMar>
        </w:tblPrEx>
        <w:trPr>
          <w:trHeight w:val="1407" w:hRule="atLeast"/>
        </w:trPr>
        <w:tc>
          <w:tcPr>
            <w:tcW w:w="536" w:type="pct"/>
            <w:vMerge w:val="continue"/>
            <w:tcBorders>
              <w:top w:val="nil"/>
              <w:left w:val="single" w:color="auto" w:sz="4" w:space="0"/>
              <w:bottom w:val="single" w:color="auto" w:sz="4" w:space="0"/>
              <w:right w:val="single" w:color="auto" w:sz="4" w:space="0"/>
            </w:tcBorders>
            <w:shd w:val="clear" w:color="auto" w:fill="auto"/>
            <w:noWrap w:val="0"/>
            <w:vAlign w:val="center"/>
          </w:tcPr>
          <w:p w14:paraId="7195E590">
            <w:pPr>
              <w:pStyle w:val="17"/>
              <w:bidi w:val="0"/>
              <w:rPr>
                <w:rFonts w:hint="eastAsia"/>
              </w:rPr>
            </w:pPr>
          </w:p>
        </w:tc>
        <w:tc>
          <w:tcPr>
            <w:tcW w:w="655" w:type="pct"/>
            <w:tcBorders>
              <w:top w:val="nil"/>
              <w:left w:val="nil"/>
              <w:bottom w:val="single" w:color="auto" w:sz="4" w:space="0"/>
              <w:right w:val="single" w:color="auto" w:sz="4" w:space="0"/>
            </w:tcBorders>
            <w:shd w:val="clear" w:color="000000" w:fill="FFFFFF"/>
            <w:noWrap w:val="0"/>
            <w:vAlign w:val="center"/>
          </w:tcPr>
          <w:p w14:paraId="2DA09A01">
            <w:pPr>
              <w:pStyle w:val="17"/>
              <w:bidi w:val="0"/>
              <w:rPr>
                <w:rFonts w:hint="eastAsia"/>
              </w:rPr>
            </w:pPr>
            <w:r>
              <w:rPr>
                <w:rFonts w:hint="eastAsia"/>
              </w:rPr>
              <w:t>数据库规划服务</w:t>
            </w:r>
          </w:p>
        </w:tc>
        <w:tc>
          <w:tcPr>
            <w:tcW w:w="2209" w:type="pct"/>
            <w:tcBorders>
              <w:top w:val="single" w:color="auto" w:sz="4" w:space="0"/>
              <w:left w:val="nil"/>
              <w:bottom w:val="single" w:color="auto" w:sz="4" w:space="0"/>
              <w:right w:val="single" w:color="auto" w:sz="4" w:space="0"/>
            </w:tcBorders>
            <w:shd w:val="clear" w:color="000000" w:fill="FFFFFF"/>
            <w:noWrap w:val="0"/>
            <w:vAlign w:val="center"/>
          </w:tcPr>
          <w:p w14:paraId="625D1237">
            <w:pPr>
              <w:pStyle w:val="17"/>
              <w:bidi w:val="0"/>
              <w:rPr>
                <w:rFonts w:hint="eastAsia"/>
              </w:rPr>
            </w:pPr>
            <w:r>
              <w:rPr>
                <w:rFonts w:hint="eastAsia"/>
              </w:rPr>
              <w:t>在服务期内，根据HIS信息系统的运行要求为医院提供专业的数据库运行环境设计与规划数据库相关硬件、软件、安全容灾</w:t>
            </w:r>
            <w:r>
              <w:rPr>
                <w:rFonts w:hint="eastAsia"/>
                <w:lang w:val="en-US" w:eastAsia="zh-CN"/>
              </w:rPr>
              <w:t>(Dataguard等容灾工具安装配置 )</w:t>
            </w:r>
            <w:r>
              <w:rPr>
                <w:rFonts w:hint="eastAsia"/>
              </w:rPr>
              <w:t>等服务。</w:t>
            </w:r>
          </w:p>
        </w:tc>
        <w:tc>
          <w:tcPr>
            <w:tcW w:w="952" w:type="pct"/>
            <w:tcBorders>
              <w:top w:val="nil"/>
              <w:left w:val="nil"/>
              <w:bottom w:val="single" w:color="auto" w:sz="4" w:space="0"/>
              <w:right w:val="single" w:color="auto" w:sz="4" w:space="0"/>
            </w:tcBorders>
            <w:shd w:val="clear" w:color="000000" w:fill="FFFFFF"/>
            <w:noWrap w:val="0"/>
            <w:vAlign w:val="center"/>
          </w:tcPr>
          <w:p w14:paraId="00F2EA47">
            <w:pPr>
              <w:pStyle w:val="17"/>
              <w:bidi w:val="0"/>
              <w:rPr>
                <w:rFonts w:hint="eastAsia"/>
              </w:rPr>
            </w:pPr>
            <w:r>
              <w:rPr>
                <w:rFonts w:hint="eastAsia"/>
              </w:rPr>
              <w:t>按用户要求提供</w:t>
            </w:r>
          </w:p>
        </w:tc>
        <w:tc>
          <w:tcPr>
            <w:tcW w:w="646" w:type="pct"/>
            <w:tcBorders>
              <w:top w:val="nil"/>
              <w:left w:val="nil"/>
              <w:bottom w:val="single" w:color="auto" w:sz="4" w:space="0"/>
              <w:right w:val="single" w:color="auto" w:sz="4" w:space="0"/>
            </w:tcBorders>
            <w:shd w:val="clear" w:color="000000" w:fill="FFFFFF"/>
            <w:noWrap w:val="0"/>
            <w:vAlign w:val="center"/>
          </w:tcPr>
          <w:p w14:paraId="14BED452">
            <w:pPr>
              <w:pStyle w:val="17"/>
              <w:bidi w:val="0"/>
              <w:rPr>
                <w:rFonts w:hint="eastAsia"/>
              </w:rPr>
            </w:pPr>
            <w:r>
              <w:rPr>
                <w:rFonts w:hint="eastAsia"/>
              </w:rPr>
              <w:t>远程</w:t>
            </w:r>
            <w:r>
              <w:rPr>
                <w:rFonts w:hint="eastAsia"/>
                <w:lang w:val="en-US" w:eastAsia="zh-CN"/>
              </w:rPr>
              <w:t>/现场</w:t>
            </w:r>
          </w:p>
        </w:tc>
      </w:tr>
      <w:tr w14:paraId="38D223F5">
        <w:tblPrEx>
          <w:tblCellMar>
            <w:top w:w="0" w:type="dxa"/>
            <w:left w:w="108" w:type="dxa"/>
            <w:bottom w:w="0" w:type="dxa"/>
            <w:right w:w="108" w:type="dxa"/>
          </w:tblCellMar>
        </w:tblPrEx>
        <w:trPr>
          <w:trHeight w:val="1407" w:hRule="atLeast"/>
        </w:trPr>
        <w:tc>
          <w:tcPr>
            <w:tcW w:w="536" w:type="pct"/>
            <w:vMerge w:val="continue"/>
            <w:tcBorders>
              <w:top w:val="nil"/>
              <w:left w:val="single" w:color="auto" w:sz="4" w:space="0"/>
              <w:bottom w:val="single" w:color="auto" w:sz="4" w:space="0"/>
              <w:right w:val="single" w:color="auto" w:sz="4" w:space="0"/>
            </w:tcBorders>
            <w:shd w:val="clear" w:color="auto" w:fill="auto"/>
            <w:noWrap w:val="0"/>
            <w:vAlign w:val="center"/>
          </w:tcPr>
          <w:p w14:paraId="7F39A72B">
            <w:pPr>
              <w:pStyle w:val="17"/>
              <w:bidi w:val="0"/>
              <w:rPr>
                <w:rFonts w:hint="eastAsia"/>
              </w:rPr>
            </w:pPr>
          </w:p>
        </w:tc>
        <w:tc>
          <w:tcPr>
            <w:tcW w:w="655" w:type="pct"/>
            <w:tcBorders>
              <w:top w:val="nil"/>
              <w:left w:val="nil"/>
              <w:bottom w:val="single" w:color="auto" w:sz="4" w:space="0"/>
              <w:right w:val="single" w:color="auto" w:sz="4" w:space="0"/>
            </w:tcBorders>
            <w:shd w:val="clear" w:color="000000" w:fill="FFFFFF"/>
            <w:noWrap w:val="0"/>
            <w:vAlign w:val="center"/>
          </w:tcPr>
          <w:p w14:paraId="7D905AEC">
            <w:pPr>
              <w:pStyle w:val="17"/>
              <w:bidi w:val="0"/>
              <w:rPr>
                <w:rFonts w:hint="eastAsia"/>
              </w:rPr>
            </w:pPr>
            <w:r>
              <w:rPr>
                <w:rFonts w:hint="eastAsia"/>
              </w:rPr>
              <w:t>数据库集群/高可用安装部署服务</w:t>
            </w:r>
          </w:p>
        </w:tc>
        <w:tc>
          <w:tcPr>
            <w:tcW w:w="2209" w:type="pct"/>
            <w:tcBorders>
              <w:top w:val="single" w:color="auto" w:sz="4" w:space="0"/>
              <w:left w:val="nil"/>
              <w:bottom w:val="single" w:color="auto" w:sz="4" w:space="0"/>
              <w:right w:val="single" w:color="auto" w:sz="4" w:space="0"/>
            </w:tcBorders>
            <w:shd w:val="clear" w:color="000000" w:fill="FFFFFF"/>
            <w:noWrap w:val="0"/>
            <w:vAlign w:val="center"/>
          </w:tcPr>
          <w:p w14:paraId="2892A05E">
            <w:pPr>
              <w:pStyle w:val="17"/>
              <w:bidi w:val="0"/>
              <w:rPr>
                <w:rFonts w:hint="eastAsia"/>
              </w:rPr>
            </w:pPr>
            <w:r>
              <w:rPr>
                <w:rFonts w:hint="eastAsia"/>
              </w:rPr>
              <w:t>根据用户的硬件环境，</w:t>
            </w:r>
            <w:r>
              <w:rPr>
                <w:rFonts w:hint="eastAsia"/>
                <w:lang w:val="en-US" w:eastAsia="zh-CN"/>
              </w:rPr>
              <w:t>协助</w:t>
            </w:r>
            <w:r>
              <w:rPr>
                <w:rFonts w:hint="eastAsia"/>
              </w:rPr>
              <w:t>用户部署基于存储的主备或者RAC高可用数据库集群，除了保障硬软件的冗余，也可以最大限度的发挥硬件在数据库运用中的资源利用。</w:t>
            </w:r>
          </w:p>
          <w:p w14:paraId="1EF385C9">
            <w:pPr>
              <w:pStyle w:val="17"/>
              <w:bidi w:val="0"/>
              <w:rPr>
                <w:rFonts w:hint="eastAsia"/>
              </w:rPr>
            </w:pPr>
            <w:r>
              <w:rPr>
                <w:rFonts w:hint="eastAsia"/>
              </w:rPr>
              <w:t>*包括但不限于Oracle RAC高可用并行数据库服务器集群安装，HA主备容灾安装，Postgrsql流复制集群安装部署，Keepalived和pgbouncer连接池安装部署等。</w:t>
            </w:r>
          </w:p>
        </w:tc>
        <w:tc>
          <w:tcPr>
            <w:tcW w:w="952" w:type="pct"/>
            <w:tcBorders>
              <w:top w:val="nil"/>
              <w:left w:val="nil"/>
              <w:bottom w:val="single" w:color="auto" w:sz="4" w:space="0"/>
              <w:right w:val="single" w:color="auto" w:sz="4" w:space="0"/>
            </w:tcBorders>
            <w:shd w:val="clear" w:color="000000" w:fill="FFFFFF"/>
            <w:noWrap w:val="0"/>
            <w:vAlign w:val="center"/>
          </w:tcPr>
          <w:p w14:paraId="5CEBCAC7">
            <w:pPr>
              <w:pStyle w:val="17"/>
              <w:bidi w:val="0"/>
              <w:rPr>
                <w:rFonts w:hint="eastAsia"/>
              </w:rPr>
            </w:pPr>
            <w:r>
              <w:rPr>
                <w:rFonts w:hint="eastAsia"/>
              </w:rPr>
              <w:t>按用户要求提供</w:t>
            </w:r>
          </w:p>
        </w:tc>
        <w:tc>
          <w:tcPr>
            <w:tcW w:w="646" w:type="pct"/>
            <w:tcBorders>
              <w:top w:val="nil"/>
              <w:left w:val="nil"/>
              <w:bottom w:val="single" w:color="auto" w:sz="4" w:space="0"/>
              <w:right w:val="single" w:color="auto" w:sz="4" w:space="0"/>
            </w:tcBorders>
            <w:shd w:val="clear" w:color="000000" w:fill="FFFFFF"/>
            <w:noWrap w:val="0"/>
            <w:vAlign w:val="center"/>
          </w:tcPr>
          <w:p w14:paraId="58913AD7">
            <w:pPr>
              <w:pStyle w:val="17"/>
              <w:bidi w:val="0"/>
              <w:rPr>
                <w:rFonts w:hint="eastAsia"/>
              </w:rPr>
            </w:pPr>
            <w:r>
              <w:rPr>
                <w:rFonts w:hint="eastAsia"/>
              </w:rPr>
              <w:t>远程</w:t>
            </w:r>
            <w:r>
              <w:rPr>
                <w:rFonts w:hint="eastAsia"/>
                <w:lang w:val="en-US" w:eastAsia="zh-CN"/>
              </w:rPr>
              <w:t>/现场</w:t>
            </w:r>
          </w:p>
        </w:tc>
      </w:tr>
      <w:tr w14:paraId="6A52D30E">
        <w:tblPrEx>
          <w:tblCellMar>
            <w:top w:w="0" w:type="dxa"/>
            <w:left w:w="108" w:type="dxa"/>
            <w:bottom w:w="0" w:type="dxa"/>
            <w:right w:w="108" w:type="dxa"/>
          </w:tblCellMar>
        </w:tblPrEx>
        <w:trPr>
          <w:trHeight w:val="1554" w:hRule="atLeast"/>
        </w:trPr>
        <w:tc>
          <w:tcPr>
            <w:tcW w:w="536" w:type="pct"/>
            <w:vMerge w:val="continue"/>
            <w:tcBorders>
              <w:top w:val="nil"/>
              <w:left w:val="single" w:color="auto" w:sz="4" w:space="0"/>
              <w:bottom w:val="single" w:color="auto" w:sz="4" w:space="0"/>
              <w:right w:val="single" w:color="auto" w:sz="4" w:space="0"/>
            </w:tcBorders>
            <w:shd w:val="clear" w:color="auto" w:fill="auto"/>
            <w:noWrap w:val="0"/>
            <w:vAlign w:val="center"/>
          </w:tcPr>
          <w:p w14:paraId="2D90E089">
            <w:pPr>
              <w:pStyle w:val="17"/>
              <w:bidi w:val="0"/>
              <w:rPr>
                <w:rFonts w:hint="eastAsia"/>
              </w:rPr>
            </w:pPr>
          </w:p>
        </w:tc>
        <w:tc>
          <w:tcPr>
            <w:tcW w:w="655" w:type="pct"/>
            <w:tcBorders>
              <w:top w:val="nil"/>
              <w:left w:val="nil"/>
              <w:bottom w:val="single" w:color="auto" w:sz="4" w:space="0"/>
              <w:right w:val="single" w:color="auto" w:sz="4" w:space="0"/>
            </w:tcBorders>
            <w:shd w:val="clear" w:color="000000" w:fill="FFFFFF"/>
            <w:noWrap w:val="0"/>
            <w:vAlign w:val="center"/>
          </w:tcPr>
          <w:p w14:paraId="1AB9B0F2">
            <w:pPr>
              <w:pStyle w:val="17"/>
              <w:bidi w:val="0"/>
              <w:rPr>
                <w:rFonts w:hint="eastAsia"/>
              </w:rPr>
            </w:pPr>
            <w:r>
              <w:rPr>
                <w:rFonts w:hint="eastAsia"/>
              </w:rPr>
              <w:t>数据库</w:t>
            </w:r>
            <w:r>
              <w:rPr>
                <w:rFonts w:hint="eastAsia"/>
                <w:lang w:val="en-US" w:eastAsia="zh-CN"/>
              </w:rPr>
              <w:t>和操作系统</w:t>
            </w:r>
            <w:r>
              <w:rPr>
                <w:rFonts w:hint="eastAsia"/>
              </w:rPr>
              <w:t>维护范围</w:t>
            </w:r>
          </w:p>
        </w:tc>
        <w:tc>
          <w:tcPr>
            <w:tcW w:w="2209" w:type="pct"/>
            <w:tcBorders>
              <w:top w:val="single" w:color="auto" w:sz="4" w:space="0"/>
              <w:left w:val="nil"/>
              <w:bottom w:val="single" w:color="auto" w:sz="4" w:space="0"/>
              <w:right w:val="single" w:color="auto" w:sz="4" w:space="0"/>
            </w:tcBorders>
            <w:shd w:val="clear" w:color="000000" w:fill="FFFFFF"/>
            <w:noWrap w:val="0"/>
            <w:vAlign w:val="center"/>
          </w:tcPr>
          <w:p w14:paraId="3FE7DE00">
            <w:pPr>
              <w:pStyle w:val="17"/>
              <w:bidi w:val="0"/>
              <w:rPr>
                <w:rFonts w:hint="eastAsia" w:eastAsiaTheme="minorEastAsia"/>
                <w:lang w:eastAsia="zh-CN"/>
              </w:rPr>
            </w:pPr>
            <w:r>
              <w:rPr>
                <w:rFonts w:hint="eastAsia"/>
              </w:rPr>
              <w:t>HIS系统、超声PACS系统、LIS系统</w:t>
            </w:r>
            <w:r>
              <w:rPr>
                <w:rFonts w:hint="eastAsia"/>
                <w:lang w:eastAsia="zh-CN"/>
              </w:rPr>
              <w:t>、放射PACS、嘉和电子病历、</w:t>
            </w:r>
            <w:r>
              <w:rPr>
                <w:rFonts w:hint="eastAsia"/>
                <w:lang w:val="en-US" w:eastAsia="zh-CN"/>
              </w:rPr>
              <w:t>整体</w:t>
            </w:r>
            <w:r>
              <w:rPr>
                <w:rFonts w:hint="eastAsia"/>
                <w:lang w:eastAsia="zh-CN"/>
              </w:rPr>
              <w:t>护理系统</w:t>
            </w:r>
          </w:p>
        </w:tc>
        <w:tc>
          <w:tcPr>
            <w:tcW w:w="952" w:type="pct"/>
            <w:tcBorders>
              <w:top w:val="nil"/>
              <w:left w:val="nil"/>
              <w:bottom w:val="single" w:color="auto" w:sz="4" w:space="0"/>
              <w:right w:val="single" w:color="auto" w:sz="4" w:space="0"/>
            </w:tcBorders>
            <w:shd w:val="clear" w:color="000000" w:fill="FFFFFF"/>
            <w:noWrap w:val="0"/>
            <w:vAlign w:val="center"/>
          </w:tcPr>
          <w:p w14:paraId="10E8E588">
            <w:pPr>
              <w:pStyle w:val="17"/>
              <w:bidi w:val="0"/>
              <w:rPr>
                <w:rFonts w:hint="eastAsia"/>
              </w:rPr>
            </w:pPr>
            <w:r>
              <w:rPr>
                <w:rFonts w:hint="eastAsia"/>
              </w:rPr>
              <w:t>/</w:t>
            </w:r>
          </w:p>
        </w:tc>
        <w:tc>
          <w:tcPr>
            <w:tcW w:w="646" w:type="pct"/>
            <w:tcBorders>
              <w:top w:val="nil"/>
              <w:left w:val="nil"/>
              <w:bottom w:val="single" w:color="auto" w:sz="4" w:space="0"/>
              <w:right w:val="single" w:color="auto" w:sz="4" w:space="0"/>
            </w:tcBorders>
            <w:shd w:val="clear" w:color="000000" w:fill="FFFFFF"/>
            <w:noWrap w:val="0"/>
            <w:vAlign w:val="center"/>
          </w:tcPr>
          <w:p w14:paraId="70F84BD8">
            <w:pPr>
              <w:pStyle w:val="17"/>
              <w:bidi w:val="0"/>
              <w:rPr>
                <w:rFonts w:hint="eastAsia"/>
              </w:rPr>
            </w:pPr>
            <w:r>
              <w:rPr>
                <w:rFonts w:hint="eastAsia"/>
              </w:rPr>
              <w:t>/</w:t>
            </w:r>
          </w:p>
        </w:tc>
      </w:tr>
    </w:tbl>
    <w:p w14:paraId="16499250">
      <w:pPr>
        <w:numPr>
          <w:ilvl w:val="0"/>
          <w:numId w:val="0"/>
        </w:numPr>
        <w:bidi w:val="0"/>
        <w:spacing w:line="360" w:lineRule="auto"/>
        <w:rPr>
          <w:rFonts w:hint="eastAsia" w:ascii="宋体" w:hAnsi="宋体" w:eastAsia="宋体" w:cs="宋体"/>
          <w:sz w:val="24"/>
          <w:szCs w:val="24"/>
          <w:lang w:val="en-US" w:eastAsia="zh-CN"/>
        </w:rPr>
      </w:pPr>
    </w:p>
    <w:p w14:paraId="065A370D">
      <w:pPr>
        <w:numPr>
          <w:ilvl w:val="0"/>
          <w:numId w:val="2"/>
        </w:numPr>
        <w:spacing w:line="360" w:lineRule="auto"/>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服务要求</w:t>
      </w:r>
    </w:p>
    <w:p w14:paraId="1874CDE7">
      <w:pPr>
        <w:pStyle w:val="23"/>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电话、邮件、远程支持：7*24小时，包括节假日；</w:t>
      </w:r>
    </w:p>
    <w:p w14:paraId="6B23473B">
      <w:pPr>
        <w:pStyle w:val="23"/>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巡检运维方式：每</w:t>
      </w:r>
      <w:r>
        <w:rPr>
          <w:rFonts w:hint="eastAsia" w:ascii="宋体" w:hAnsi="宋体" w:eastAsia="宋体" w:cs="宋体"/>
          <w:sz w:val="24"/>
          <w:szCs w:val="24"/>
          <w:lang w:val="en-US" w:eastAsia="zh-CN"/>
        </w:rPr>
        <w:t>季度</w:t>
      </w:r>
      <w:r>
        <w:rPr>
          <w:rFonts w:hint="eastAsia" w:ascii="宋体" w:hAnsi="宋体" w:eastAsia="宋体" w:cs="宋体"/>
          <w:sz w:val="24"/>
          <w:szCs w:val="24"/>
        </w:rPr>
        <w:t>一次定期、不定期按需到场</w:t>
      </w:r>
      <w:r>
        <w:rPr>
          <w:rFonts w:hint="eastAsia" w:ascii="宋体" w:hAnsi="宋体" w:cs="宋体"/>
          <w:sz w:val="24"/>
          <w:szCs w:val="24"/>
          <w:lang w:val="en-US" w:eastAsia="zh-CN"/>
        </w:rPr>
        <w:t>或远程巡检</w:t>
      </w:r>
      <w:r>
        <w:rPr>
          <w:rFonts w:hint="eastAsia" w:ascii="宋体" w:hAnsi="宋体" w:eastAsia="宋体" w:cs="宋体"/>
          <w:sz w:val="24"/>
          <w:szCs w:val="24"/>
        </w:rPr>
        <w:t>(</w:t>
      </w:r>
      <w:r>
        <w:rPr>
          <w:rFonts w:hint="eastAsia" w:ascii="宋体" w:hAnsi="宋体" w:eastAsia="宋体" w:cs="宋体"/>
          <w:sz w:val="24"/>
          <w:szCs w:val="24"/>
          <w:lang w:val="en-US" w:eastAsia="zh-CN"/>
        </w:rPr>
        <w:t>系统</w:t>
      </w:r>
      <w:r>
        <w:rPr>
          <w:rFonts w:hint="eastAsia" w:ascii="宋体" w:hAnsi="宋体" w:eastAsia="宋体" w:cs="宋体"/>
          <w:sz w:val="24"/>
          <w:szCs w:val="24"/>
        </w:rPr>
        <w:t>故障时)。</w:t>
      </w:r>
    </w:p>
    <w:p w14:paraId="7A9A2048">
      <w:pPr>
        <w:pStyle w:val="23"/>
        <w:numPr>
          <w:ilvl w:val="0"/>
          <w:numId w:val="3"/>
        </w:numPr>
        <w:spacing w:line="360" w:lineRule="auto"/>
        <w:ind w:firstLineChars="0"/>
        <w:rPr>
          <w:rFonts w:hint="eastAsia" w:ascii="宋体" w:hAnsi="宋体" w:eastAsia="宋体" w:cs="宋体"/>
          <w:sz w:val="24"/>
          <w:szCs w:val="24"/>
        </w:rPr>
      </w:pPr>
      <w:r>
        <w:rPr>
          <w:rFonts w:hint="eastAsia" w:ascii="宋体" w:hAnsi="宋体" w:cs="宋体"/>
          <w:sz w:val="24"/>
          <w:szCs w:val="24"/>
          <w:lang w:val="en-US" w:eastAsia="zh-CN"/>
        </w:rPr>
        <w:t>软件工具：具备专业的软件工具，在巡检、故障排查、故障处理等方面能快速协助响应。</w:t>
      </w:r>
    </w:p>
    <w:p w14:paraId="37C164C2">
      <w:pPr>
        <w:pStyle w:val="23"/>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现场应急响应处理：一旦系统发生故障无法正常运行等有关的一切事务，需提供7*24小时，</w:t>
      </w:r>
      <w:r>
        <w:rPr>
          <w:rFonts w:hint="eastAsia" w:ascii="宋体" w:hAnsi="宋体" w:eastAsia="宋体" w:cs="宋体"/>
          <w:sz w:val="24"/>
          <w:szCs w:val="24"/>
          <w:lang w:val="en-US" w:eastAsia="zh-CN"/>
        </w:rPr>
        <w:t>4</w:t>
      </w:r>
      <w:r>
        <w:rPr>
          <w:rFonts w:hint="eastAsia" w:ascii="宋体" w:hAnsi="宋体" w:eastAsia="宋体" w:cs="宋体"/>
          <w:sz w:val="24"/>
          <w:szCs w:val="24"/>
        </w:rPr>
        <w:t>小时到场的紧急现场响应；</w:t>
      </w:r>
    </w:p>
    <w:p w14:paraId="1F704941">
      <w:pPr>
        <w:pStyle w:val="23"/>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系统紧急情况处理：一般故障须在到场后2小时内解决问题，重大故障需在到场后24小时内解决，如不能解决，须提供相应的应急方案；</w:t>
      </w:r>
    </w:p>
    <w:p w14:paraId="0E5B13CD">
      <w:pPr>
        <w:pStyle w:val="23"/>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系统预防措施：遇到系统出现重大错误或异常报警时，及时提供有效预防措施。</w:t>
      </w:r>
    </w:p>
    <w:p w14:paraId="42328BE2">
      <w:pPr>
        <w:pStyle w:val="23"/>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维护报告：每</w:t>
      </w:r>
      <w:r>
        <w:rPr>
          <w:rFonts w:hint="eastAsia" w:ascii="宋体" w:hAnsi="宋体" w:eastAsia="宋体" w:cs="宋体"/>
          <w:sz w:val="24"/>
          <w:szCs w:val="24"/>
          <w:lang w:val="en-US" w:eastAsia="zh-CN"/>
        </w:rPr>
        <w:t>季度</w:t>
      </w:r>
      <w:r>
        <w:rPr>
          <w:rFonts w:hint="eastAsia" w:ascii="宋体" w:hAnsi="宋体" w:eastAsia="宋体" w:cs="宋体"/>
          <w:sz w:val="24"/>
          <w:szCs w:val="24"/>
        </w:rPr>
        <w:t>出具本</w:t>
      </w:r>
      <w:r>
        <w:rPr>
          <w:rFonts w:hint="eastAsia" w:ascii="宋体" w:hAnsi="宋体" w:eastAsia="宋体" w:cs="宋体"/>
          <w:sz w:val="24"/>
          <w:szCs w:val="24"/>
          <w:lang w:val="en-US" w:eastAsia="zh-CN"/>
        </w:rPr>
        <w:t>季</w:t>
      </w:r>
      <w:r>
        <w:rPr>
          <w:rFonts w:hint="eastAsia" w:ascii="宋体" w:hAnsi="宋体" w:eastAsia="宋体" w:cs="宋体"/>
          <w:sz w:val="24"/>
          <w:szCs w:val="24"/>
        </w:rPr>
        <w:t>度维护报告，包括维护情况、日志分析情况、BUG修复、系统应用绩效等相关报告。每季度、半年、年度出具总结报告。</w:t>
      </w:r>
    </w:p>
    <w:p w14:paraId="25E42CB5">
      <w:pPr>
        <w:numPr>
          <w:ilvl w:val="0"/>
          <w:numId w:val="3"/>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做好服务质量反馈与交流，如建立维护技术档案、提供</w:t>
      </w:r>
      <w:r>
        <w:rPr>
          <w:rFonts w:hint="eastAsia" w:ascii="宋体" w:hAnsi="宋体" w:eastAsia="宋体" w:cs="宋体"/>
          <w:sz w:val="24"/>
          <w:szCs w:val="24"/>
          <w:lang w:val="en-US" w:eastAsia="zh-CN"/>
        </w:rPr>
        <w:t>季</w:t>
      </w:r>
      <w:r>
        <w:rPr>
          <w:rFonts w:hint="eastAsia" w:ascii="宋体" w:hAnsi="宋体" w:eastAsia="宋体" w:cs="宋体"/>
          <w:sz w:val="24"/>
          <w:szCs w:val="24"/>
        </w:rPr>
        <w:t>度维护报告或年度总结等。</w:t>
      </w:r>
    </w:p>
    <w:p w14:paraId="0101D6BC">
      <w:pPr>
        <w:numPr>
          <w:ilvl w:val="0"/>
          <w:numId w:val="3"/>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现场应急、应约服务；</w:t>
      </w:r>
    </w:p>
    <w:p w14:paraId="7F64963E">
      <w:pPr>
        <w:numPr>
          <w:ilvl w:val="0"/>
          <w:numId w:val="3"/>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根据甲方实际需求，提供系统应用培训和运维培训；</w:t>
      </w:r>
    </w:p>
    <w:p w14:paraId="073DAE18">
      <w:pPr>
        <w:numPr>
          <w:ilvl w:val="0"/>
          <w:numId w:val="3"/>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重大活动及重大节日期间提供应需现场或远程保障服务;</w:t>
      </w:r>
    </w:p>
    <w:p w14:paraId="3601C186">
      <w:pPr>
        <w:numPr>
          <w:ilvl w:val="0"/>
          <w:numId w:val="3"/>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遵守医院的安全保密制度,不得拷贝、泄漏考核方的任何技术资料和商业机密。</w:t>
      </w:r>
    </w:p>
    <w:p w14:paraId="0CB87F42">
      <w:pPr>
        <w:bidi w:val="0"/>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2EF0E"/>
    <w:multiLevelType w:val="multilevel"/>
    <w:tmpl w:val="A162EF0E"/>
    <w:lvl w:ilvl="0" w:tentative="0">
      <w:start w:val="1"/>
      <w:numFmt w:val="chineseCounting"/>
      <w:pStyle w:val="2"/>
      <w:suff w:val="space"/>
      <w:lvlText w:val="%1."/>
      <w:lvlJc w:val="left"/>
      <w:pPr>
        <w:tabs>
          <w:tab w:val="left" w:pos="0"/>
        </w:tabs>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suff w:val="space"/>
      <w:lvlText w:val="%1.%2.%3."/>
      <w:lvlJc w:val="left"/>
      <w:pPr>
        <w:ind w:left="720" w:hanging="720"/>
      </w:pPr>
      <w:rPr>
        <w:rFonts w:hint="eastAsia"/>
      </w:rPr>
    </w:lvl>
    <w:lvl w:ilvl="3" w:tentative="0">
      <w:start w:val="1"/>
      <w:numFmt w:val="decimal"/>
      <w:pStyle w:val="5"/>
      <w:isLgl/>
      <w:suff w:val="space"/>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1">
    <w:nsid w:val="0C9C1408"/>
    <w:multiLevelType w:val="singleLevel"/>
    <w:tmpl w:val="0C9C1408"/>
    <w:lvl w:ilvl="0" w:tentative="0">
      <w:start w:val="2"/>
      <w:numFmt w:val="decimal"/>
      <w:suff w:val="nothing"/>
      <w:lvlText w:val="%1、"/>
      <w:lvlJc w:val="left"/>
    </w:lvl>
  </w:abstractNum>
  <w:abstractNum w:abstractNumId="2">
    <w:nsid w:val="1C2C7A03"/>
    <w:multiLevelType w:val="multilevel"/>
    <w:tmpl w:val="1C2C7A03"/>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044B"/>
    <w:rsid w:val="008E094D"/>
    <w:rsid w:val="00983C1A"/>
    <w:rsid w:val="00AA32B3"/>
    <w:rsid w:val="00C967D6"/>
    <w:rsid w:val="00F96A7D"/>
    <w:rsid w:val="01852B12"/>
    <w:rsid w:val="023E1616"/>
    <w:rsid w:val="02AE00DE"/>
    <w:rsid w:val="033412E1"/>
    <w:rsid w:val="033B5C56"/>
    <w:rsid w:val="03B13985"/>
    <w:rsid w:val="03DF70E9"/>
    <w:rsid w:val="046E5030"/>
    <w:rsid w:val="04970029"/>
    <w:rsid w:val="04C81D14"/>
    <w:rsid w:val="053D1E78"/>
    <w:rsid w:val="05CB745D"/>
    <w:rsid w:val="067A30DF"/>
    <w:rsid w:val="06DF2101"/>
    <w:rsid w:val="07257316"/>
    <w:rsid w:val="075B5AC3"/>
    <w:rsid w:val="076007C0"/>
    <w:rsid w:val="07F26D13"/>
    <w:rsid w:val="08006357"/>
    <w:rsid w:val="0A777406"/>
    <w:rsid w:val="0B3C6504"/>
    <w:rsid w:val="0B7D2434"/>
    <w:rsid w:val="0CB376A1"/>
    <w:rsid w:val="0CD476D6"/>
    <w:rsid w:val="0DD06B11"/>
    <w:rsid w:val="0E526701"/>
    <w:rsid w:val="0E8A0E0C"/>
    <w:rsid w:val="0EBB3EEE"/>
    <w:rsid w:val="0EF6399A"/>
    <w:rsid w:val="0F2A31FB"/>
    <w:rsid w:val="0F322B03"/>
    <w:rsid w:val="0F6C3DF7"/>
    <w:rsid w:val="10AC1250"/>
    <w:rsid w:val="10C02764"/>
    <w:rsid w:val="11826503"/>
    <w:rsid w:val="11AB70CB"/>
    <w:rsid w:val="1257745C"/>
    <w:rsid w:val="12AF1625"/>
    <w:rsid w:val="151D06D7"/>
    <w:rsid w:val="155F7907"/>
    <w:rsid w:val="164E311F"/>
    <w:rsid w:val="16595FF8"/>
    <w:rsid w:val="16674055"/>
    <w:rsid w:val="173B3E45"/>
    <w:rsid w:val="17433BAE"/>
    <w:rsid w:val="17840521"/>
    <w:rsid w:val="18123A34"/>
    <w:rsid w:val="183B5D08"/>
    <w:rsid w:val="1862744F"/>
    <w:rsid w:val="18A82D05"/>
    <w:rsid w:val="18E14DB5"/>
    <w:rsid w:val="1A3506AB"/>
    <w:rsid w:val="1A8A240E"/>
    <w:rsid w:val="1B42447A"/>
    <w:rsid w:val="1B45624D"/>
    <w:rsid w:val="1B9063B3"/>
    <w:rsid w:val="1C00375C"/>
    <w:rsid w:val="1CF00880"/>
    <w:rsid w:val="1CFC0972"/>
    <w:rsid w:val="1D1C344E"/>
    <w:rsid w:val="1DB92157"/>
    <w:rsid w:val="1DDD0CC6"/>
    <w:rsid w:val="1E1359AC"/>
    <w:rsid w:val="1E3C1BFF"/>
    <w:rsid w:val="1E8945D9"/>
    <w:rsid w:val="1F7F4800"/>
    <w:rsid w:val="1FCE1DEC"/>
    <w:rsid w:val="1FE16BA6"/>
    <w:rsid w:val="2010022D"/>
    <w:rsid w:val="20375B22"/>
    <w:rsid w:val="20567DB1"/>
    <w:rsid w:val="207574C7"/>
    <w:rsid w:val="20E64474"/>
    <w:rsid w:val="20EA48E7"/>
    <w:rsid w:val="212F5DD8"/>
    <w:rsid w:val="22196E59"/>
    <w:rsid w:val="22321BF7"/>
    <w:rsid w:val="225464D8"/>
    <w:rsid w:val="22766F2B"/>
    <w:rsid w:val="2429538C"/>
    <w:rsid w:val="25AF576B"/>
    <w:rsid w:val="26603023"/>
    <w:rsid w:val="26E15D4F"/>
    <w:rsid w:val="27800420"/>
    <w:rsid w:val="27D52814"/>
    <w:rsid w:val="28D41136"/>
    <w:rsid w:val="2A34005A"/>
    <w:rsid w:val="2B8A11FA"/>
    <w:rsid w:val="2BD46751"/>
    <w:rsid w:val="2C08574B"/>
    <w:rsid w:val="2CF12C21"/>
    <w:rsid w:val="2CF5117C"/>
    <w:rsid w:val="2D2E194A"/>
    <w:rsid w:val="2DB1698C"/>
    <w:rsid w:val="2DD230A0"/>
    <w:rsid w:val="2E044976"/>
    <w:rsid w:val="2E701440"/>
    <w:rsid w:val="2FFC7394"/>
    <w:rsid w:val="30713223"/>
    <w:rsid w:val="317260CE"/>
    <w:rsid w:val="325800C7"/>
    <w:rsid w:val="33445F0D"/>
    <w:rsid w:val="352F5B2F"/>
    <w:rsid w:val="35401F9A"/>
    <w:rsid w:val="357C6CFE"/>
    <w:rsid w:val="35FE7900"/>
    <w:rsid w:val="370E563E"/>
    <w:rsid w:val="37544362"/>
    <w:rsid w:val="37630AC5"/>
    <w:rsid w:val="387E6B10"/>
    <w:rsid w:val="38D56239"/>
    <w:rsid w:val="38DB20AB"/>
    <w:rsid w:val="394C636C"/>
    <w:rsid w:val="395F40E1"/>
    <w:rsid w:val="39653FE8"/>
    <w:rsid w:val="397406B8"/>
    <w:rsid w:val="39B62CE2"/>
    <w:rsid w:val="3A2109D9"/>
    <w:rsid w:val="3A2E42A6"/>
    <w:rsid w:val="3A4F4683"/>
    <w:rsid w:val="3B346637"/>
    <w:rsid w:val="3C076A7D"/>
    <w:rsid w:val="3C261DB8"/>
    <w:rsid w:val="3D144F31"/>
    <w:rsid w:val="3E445994"/>
    <w:rsid w:val="3E977555"/>
    <w:rsid w:val="3EFC12C5"/>
    <w:rsid w:val="3F714D9C"/>
    <w:rsid w:val="3F840F98"/>
    <w:rsid w:val="3F875618"/>
    <w:rsid w:val="40C335CB"/>
    <w:rsid w:val="42B01676"/>
    <w:rsid w:val="42C3751B"/>
    <w:rsid w:val="43A02171"/>
    <w:rsid w:val="44077205"/>
    <w:rsid w:val="443F4A16"/>
    <w:rsid w:val="44465FE4"/>
    <w:rsid w:val="44542E7E"/>
    <w:rsid w:val="44D94C90"/>
    <w:rsid w:val="452119F7"/>
    <w:rsid w:val="45457A55"/>
    <w:rsid w:val="45CA0710"/>
    <w:rsid w:val="45E01660"/>
    <w:rsid w:val="46713F31"/>
    <w:rsid w:val="46E25B42"/>
    <w:rsid w:val="46E96DB6"/>
    <w:rsid w:val="473B7C4F"/>
    <w:rsid w:val="47D437C8"/>
    <w:rsid w:val="49264DC3"/>
    <w:rsid w:val="4B0F49E7"/>
    <w:rsid w:val="4B8777C9"/>
    <w:rsid w:val="4BED3BCE"/>
    <w:rsid w:val="4BFF24BB"/>
    <w:rsid w:val="4C712BE9"/>
    <w:rsid w:val="4D1E7C86"/>
    <w:rsid w:val="4DA37853"/>
    <w:rsid w:val="4E686AF4"/>
    <w:rsid w:val="4E9368E3"/>
    <w:rsid w:val="4F195165"/>
    <w:rsid w:val="4F836E3C"/>
    <w:rsid w:val="506E643D"/>
    <w:rsid w:val="50C03A90"/>
    <w:rsid w:val="516140B5"/>
    <w:rsid w:val="517B5DA4"/>
    <w:rsid w:val="51800887"/>
    <w:rsid w:val="51C703E5"/>
    <w:rsid w:val="52152CF9"/>
    <w:rsid w:val="53BE3745"/>
    <w:rsid w:val="53FB02CA"/>
    <w:rsid w:val="54CB149D"/>
    <w:rsid w:val="55F45E3A"/>
    <w:rsid w:val="56776AA2"/>
    <w:rsid w:val="56980B90"/>
    <w:rsid w:val="56E30FE2"/>
    <w:rsid w:val="56EE0A9A"/>
    <w:rsid w:val="570F0795"/>
    <w:rsid w:val="583F0582"/>
    <w:rsid w:val="584077DE"/>
    <w:rsid w:val="592E0487"/>
    <w:rsid w:val="5A0E1043"/>
    <w:rsid w:val="5B80712C"/>
    <w:rsid w:val="5C5118C4"/>
    <w:rsid w:val="5C6254EA"/>
    <w:rsid w:val="5CCA4FCD"/>
    <w:rsid w:val="5D274D90"/>
    <w:rsid w:val="5DB55FED"/>
    <w:rsid w:val="5EA166E5"/>
    <w:rsid w:val="5EC82FEA"/>
    <w:rsid w:val="5F5C6A78"/>
    <w:rsid w:val="5F6227BA"/>
    <w:rsid w:val="5FBC0EF7"/>
    <w:rsid w:val="607D756E"/>
    <w:rsid w:val="60D45F50"/>
    <w:rsid w:val="60DA5A12"/>
    <w:rsid w:val="614D5470"/>
    <w:rsid w:val="6151603A"/>
    <w:rsid w:val="615E2B82"/>
    <w:rsid w:val="61AE7EC8"/>
    <w:rsid w:val="621072D6"/>
    <w:rsid w:val="62527017"/>
    <w:rsid w:val="63045DC8"/>
    <w:rsid w:val="63457E8C"/>
    <w:rsid w:val="64154D82"/>
    <w:rsid w:val="6458781F"/>
    <w:rsid w:val="648C67BD"/>
    <w:rsid w:val="64FC23B5"/>
    <w:rsid w:val="650F2091"/>
    <w:rsid w:val="655D2457"/>
    <w:rsid w:val="65853982"/>
    <w:rsid w:val="658C7CCC"/>
    <w:rsid w:val="65FA0410"/>
    <w:rsid w:val="67E76EA1"/>
    <w:rsid w:val="681D5437"/>
    <w:rsid w:val="69280548"/>
    <w:rsid w:val="693E5F01"/>
    <w:rsid w:val="69BD345C"/>
    <w:rsid w:val="6A4F42DF"/>
    <w:rsid w:val="6A652F70"/>
    <w:rsid w:val="6B2124FE"/>
    <w:rsid w:val="6B8A5576"/>
    <w:rsid w:val="6BF03E93"/>
    <w:rsid w:val="6C4B29AA"/>
    <w:rsid w:val="6D514835"/>
    <w:rsid w:val="6DF472B7"/>
    <w:rsid w:val="6EF93F02"/>
    <w:rsid w:val="6F4B30C3"/>
    <w:rsid w:val="6FC400F4"/>
    <w:rsid w:val="6FE07C25"/>
    <w:rsid w:val="6FFC56A6"/>
    <w:rsid w:val="70265F41"/>
    <w:rsid w:val="70635E64"/>
    <w:rsid w:val="70E53D21"/>
    <w:rsid w:val="71BD04D2"/>
    <w:rsid w:val="71CD1A61"/>
    <w:rsid w:val="725D277F"/>
    <w:rsid w:val="72B24F8E"/>
    <w:rsid w:val="73110BD1"/>
    <w:rsid w:val="732727A1"/>
    <w:rsid w:val="73FD233F"/>
    <w:rsid w:val="74501E86"/>
    <w:rsid w:val="746D009F"/>
    <w:rsid w:val="74890106"/>
    <w:rsid w:val="763250F6"/>
    <w:rsid w:val="76E64C26"/>
    <w:rsid w:val="778356C2"/>
    <w:rsid w:val="7858102D"/>
    <w:rsid w:val="787438A2"/>
    <w:rsid w:val="794428A8"/>
    <w:rsid w:val="79B54ABA"/>
    <w:rsid w:val="7AA8226B"/>
    <w:rsid w:val="7AC83D3B"/>
    <w:rsid w:val="7AF219C3"/>
    <w:rsid w:val="7AF470B9"/>
    <w:rsid w:val="7C0C2A30"/>
    <w:rsid w:val="7C615BE3"/>
    <w:rsid w:val="7C634BC2"/>
    <w:rsid w:val="7D047C02"/>
    <w:rsid w:val="7E327BA3"/>
    <w:rsid w:val="7E671E82"/>
    <w:rsid w:val="7E9D06E1"/>
    <w:rsid w:val="7EA02DD7"/>
    <w:rsid w:val="7F713EED"/>
    <w:rsid w:val="7FC63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autoRedefine/>
    <w:qFormat/>
    <w:uiPriority w:val="0"/>
    <w:pPr>
      <w:keepNext/>
      <w:keepLines/>
      <w:numPr>
        <w:ilvl w:val="0"/>
        <w:numId w:val="1"/>
      </w:numPr>
      <w:spacing w:line="360" w:lineRule="auto"/>
      <w:ind w:left="0"/>
      <w:jc w:val="left"/>
      <w:outlineLvl w:val="0"/>
    </w:pPr>
    <w:rPr>
      <w:rFonts w:ascii="Times New Roman" w:hAnsi="Times New Roman" w:eastAsia="宋体"/>
      <w:b/>
      <w:kern w:val="44"/>
      <w:sz w:val="28"/>
      <w:szCs w:val="20"/>
    </w:rPr>
  </w:style>
  <w:style w:type="paragraph" w:styleId="3">
    <w:name w:val="heading 2"/>
    <w:basedOn w:val="1"/>
    <w:next w:val="1"/>
    <w:link w:val="18"/>
    <w:autoRedefine/>
    <w:semiHidden/>
    <w:unhideWhenUsed/>
    <w:qFormat/>
    <w:uiPriority w:val="0"/>
    <w:pPr>
      <w:keepNext/>
      <w:keepLines/>
      <w:numPr>
        <w:ilvl w:val="1"/>
        <w:numId w:val="1"/>
      </w:numPr>
      <w:spacing w:line="360" w:lineRule="auto"/>
      <w:ind w:left="575" w:hanging="575" w:firstLineChars="0"/>
      <w:jc w:val="left"/>
      <w:outlineLvl w:val="1"/>
    </w:pPr>
    <w:rPr>
      <w:rFonts w:eastAsia="微软雅黑" w:asciiTheme="majorAscii" w:hAnsiTheme="majorAscii" w:cstheme="majorBidi"/>
      <w:b/>
      <w:color w:val="000000" w:themeColor="text1"/>
      <w:sz w:val="30"/>
      <w:szCs w:val="40"/>
      <w14:textFill>
        <w14:solidFill>
          <w14:schemeClr w14:val="tx1"/>
        </w14:solidFill>
      </w14:textFill>
    </w:rPr>
  </w:style>
  <w:style w:type="paragraph" w:styleId="4">
    <w:name w:val="heading 3"/>
    <w:basedOn w:val="1"/>
    <w:next w:val="1"/>
    <w:link w:val="20"/>
    <w:autoRedefine/>
    <w:semiHidden/>
    <w:unhideWhenUsed/>
    <w:qFormat/>
    <w:uiPriority w:val="0"/>
    <w:pPr>
      <w:keepNext/>
      <w:keepLines/>
      <w:numPr>
        <w:ilvl w:val="2"/>
        <w:numId w:val="1"/>
      </w:numPr>
      <w:spacing w:line="360" w:lineRule="auto"/>
      <w:ind w:left="720" w:hanging="720" w:firstLineChars="0"/>
      <w:outlineLvl w:val="2"/>
    </w:pPr>
    <w:rPr>
      <w:rFonts w:eastAsia="微软雅黑" w:asciiTheme="majorAscii" w:hAnsiTheme="majorAscii" w:cstheme="majorBidi"/>
      <w:color w:val="000000" w:themeColor="text1"/>
      <w:sz w:val="30"/>
      <w:szCs w:val="32"/>
      <w14:textFill>
        <w14:solidFill>
          <w14:schemeClr w14:val="tx1"/>
        </w14:solidFill>
      </w14:textFill>
    </w:rPr>
  </w:style>
  <w:style w:type="paragraph" w:styleId="5">
    <w:name w:val="heading 4"/>
    <w:basedOn w:val="1"/>
    <w:next w:val="1"/>
    <w:link w:val="21"/>
    <w:autoRedefine/>
    <w:semiHidden/>
    <w:unhideWhenUsed/>
    <w:qFormat/>
    <w:uiPriority w:val="0"/>
    <w:pPr>
      <w:keepNext/>
      <w:numPr>
        <w:ilvl w:val="3"/>
        <w:numId w:val="1"/>
      </w:numPr>
      <w:spacing w:line="360" w:lineRule="auto"/>
      <w:ind w:left="864" w:hanging="864" w:firstLineChars="0"/>
      <w:outlineLvl w:val="3"/>
    </w:pPr>
    <w:rPr>
      <w:rFonts w:ascii="Times New Roman" w:hAnsi="Times New Roman" w:eastAsia="黑体"/>
      <w:b/>
      <w:sz w:val="28"/>
      <w:szCs w:val="22"/>
    </w:rPr>
  </w:style>
  <w:style w:type="paragraph" w:styleId="6">
    <w:name w:val="heading 5"/>
    <w:basedOn w:val="1"/>
    <w:next w:val="1"/>
    <w:link w:val="22"/>
    <w:autoRedefine/>
    <w:semiHidden/>
    <w:unhideWhenUsed/>
    <w:qFormat/>
    <w:uiPriority w:val="0"/>
    <w:pPr>
      <w:keepNext/>
      <w:keepLines/>
      <w:numPr>
        <w:ilvl w:val="4"/>
        <w:numId w:val="1"/>
      </w:numPr>
      <w:spacing w:before="80" w:after="40"/>
      <w:ind w:left="1008" w:hanging="1008" w:firstLineChars="0"/>
      <w:outlineLvl w:val="4"/>
    </w:pPr>
    <w:rPr>
      <w:rFonts w:cstheme="majorBidi"/>
      <w:color w:val="2E54A1" w:themeColor="accent1" w:themeShade="BF"/>
      <w:sz w:val="28"/>
    </w:rPr>
  </w:style>
  <w:style w:type="paragraph" w:styleId="7">
    <w:name w:val="heading 6"/>
    <w:basedOn w:val="1"/>
    <w:next w:val="1"/>
    <w:autoRedefine/>
    <w:semiHidden/>
    <w:unhideWhenUsed/>
    <w:qFormat/>
    <w:uiPriority w:val="0"/>
    <w:pPr>
      <w:keepNext/>
      <w:keepLines/>
      <w:numPr>
        <w:ilvl w:val="5"/>
        <w:numId w:val="1"/>
      </w:numPr>
      <w:snapToGrid w:val="0"/>
      <w:spacing w:beforeLines="0" w:beforeAutospacing="0" w:afterLines="0" w:afterAutospacing="0" w:line="360" w:lineRule="auto"/>
      <w:ind w:left="1151" w:hanging="1151" w:firstLineChars="0"/>
      <w:jc w:val="left"/>
      <w:outlineLvl w:val="5"/>
    </w:pPr>
    <w:rPr>
      <w:rFonts w:ascii="Arial" w:hAnsi="Arial" w:eastAsia="黑体" w:cs="Times New Roman"/>
      <w:b/>
      <w:sz w:val="24"/>
    </w:rPr>
  </w:style>
  <w:style w:type="paragraph" w:styleId="8">
    <w:name w:val="heading 7"/>
    <w:basedOn w:val="1"/>
    <w:next w:val="1"/>
    <w:semiHidden/>
    <w:unhideWhenUsed/>
    <w:qFormat/>
    <w:uiPriority w:val="0"/>
    <w:pPr>
      <w:keepNext/>
      <w:keepLines/>
      <w:numPr>
        <w:ilvl w:val="6"/>
        <w:numId w:val="1"/>
      </w:numPr>
      <w:snapToGrid w:val="0"/>
      <w:spacing w:beforeLines="0" w:beforeAutospacing="0" w:afterLines="0" w:afterAutospacing="0" w:line="360" w:lineRule="auto"/>
      <w:ind w:left="1296" w:hanging="1296" w:firstLineChars="0"/>
      <w:jc w:val="left"/>
      <w:outlineLvl w:val="6"/>
    </w:pPr>
    <w:rPr>
      <w:rFonts w:ascii="Times New Roman" w:hAnsi="Times New Roman" w:eastAsia="黑体" w:cs="Times New Roman"/>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5">
    <w:name w:val="Default Paragraph Font"/>
    <w:semiHidden/>
    <w:unhideWhenUsed/>
    <w:qFormat/>
    <w:uiPriority w:val="1"/>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Body Text"/>
    <w:basedOn w:val="1"/>
    <w:next w:val="1"/>
    <w:autoRedefine/>
    <w:qFormat/>
    <w:uiPriority w:val="0"/>
    <w:pPr>
      <w:spacing w:after="120" w:afterLines="0" w:afterAutospacing="0"/>
    </w:pPr>
    <w:rPr>
      <w:rFonts w:ascii="Times New Roman" w:hAnsi="Times New Roman" w:eastAsia="宋体" w:cs="Times New Roman"/>
    </w:rPr>
  </w:style>
  <w:style w:type="paragraph" w:styleId="13">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character" w:styleId="16">
    <w:name w:val="Strong"/>
    <w:basedOn w:val="15"/>
    <w:qFormat/>
    <w:uiPriority w:val="0"/>
    <w:rPr>
      <w:b/>
    </w:rPr>
  </w:style>
  <w:style w:type="paragraph" w:customStyle="1" w:styleId="17">
    <w:name w:val="表格样式1"/>
    <w:autoRedefine/>
    <w:qFormat/>
    <w:uiPriority w:val="0"/>
    <w:pPr>
      <w:wordWrap w:val="0"/>
      <w:spacing w:line="276" w:lineRule="auto"/>
      <w:ind w:left="31" w:leftChars="15" w:right="31" w:rightChars="15"/>
    </w:pPr>
    <w:rPr>
      <w:rFonts w:hint="default" w:asciiTheme="minorAscii" w:hAnsiTheme="minorAscii" w:eastAsiaTheme="minorEastAsia" w:cstheme="minorBidi"/>
      <w:sz w:val="21"/>
    </w:rPr>
  </w:style>
  <w:style w:type="character" w:customStyle="1" w:styleId="18">
    <w:name w:val="标题 2 Char"/>
    <w:link w:val="3"/>
    <w:autoRedefine/>
    <w:qFormat/>
    <w:uiPriority w:val="0"/>
    <w:rPr>
      <w:rFonts w:eastAsia="微软雅黑" w:cs="Times New Roman" w:asciiTheme="majorAscii" w:hAnsiTheme="majorAscii"/>
      <w:b/>
      <w:bCs/>
      <w:color w:val="000000" w:themeColor="text1"/>
      <w:kern w:val="2"/>
      <w:sz w:val="30"/>
      <w:szCs w:val="32"/>
      <w14:textFill>
        <w14:solidFill>
          <w14:schemeClr w14:val="tx1"/>
        </w14:solidFill>
      </w14:textFill>
    </w:rPr>
  </w:style>
  <w:style w:type="character" w:customStyle="1" w:styleId="19">
    <w:name w:val="标题 1 字符"/>
    <w:basedOn w:val="15"/>
    <w:link w:val="2"/>
    <w:autoRedefine/>
    <w:qFormat/>
    <w:uiPriority w:val="0"/>
    <w:rPr>
      <w:rFonts w:ascii="Times New Roman" w:hAnsi="Times New Roman" w:eastAsia="宋体" w:cs="Times New Roman"/>
      <w:b/>
      <w:sz w:val="28"/>
      <w:szCs w:val="48"/>
      <w:lang w:eastAsia="en-US" w:bidi="en-US"/>
    </w:rPr>
  </w:style>
  <w:style w:type="character" w:customStyle="1" w:styleId="20">
    <w:name w:val="标题 3 Char"/>
    <w:link w:val="4"/>
    <w:autoRedefine/>
    <w:qFormat/>
    <w:uiPriority w:val="0"/>
    <w:rPr>
      <w:rFonts w:eastAsia="微软雅黑" w:cs="Cambria Math" w:asciiTheme="majorAscii" w:hAnsiTheme="majorAscii"/>
      <w:b/>
      <w:bCs/>
      <w:color w:val="000000" w:themeColor="text1"/>
      <w:kern w:val="0"/>
      <w:sz w:val="28"/>
      <w:szCs w:val="28"/>
      <w14:textFill>
        <w14:solidFill>
          <w14:schemeClr w14:val="tx1"/>
        </w14:solidFill>
      </w14:textFill>
    </w:rPr>
  </w:style>
  <w:style w:type="character" w:customStyle="1" w:styleId="21">
    <w:name w:val="标题 4 字符"/>
    <w:link w:val="5"/>
    <w:qFormat/>
    <w:uiPriority w:val="0"/>
    <w:rPr>
      <w:rFonts w:ascii="Times New Roman" w:hAnsi="Times New Roman" w:eastAsia="黑体"/>
      <w:b/>
      <w:kern w:val="2"/>
      <w:sz w:val="28"/>
      <w:szCs w:val="22"/>
    </w:rPr>
  </w:style>
  <w:style w:type="character" w:customStyle="1" w:styleId="22">
    <w:name w:val="标题 5 字符"/>
    <w:basedOn w:val="15"/>
    <w:link w:val="6"/>
    <w:qFormat/>
    <w:uiPriority w:val="0"/>
    <w:rPr>
      <w:rFonts w:eastAsia="宋体" w:cstheme="majorBidi"/>
      <w:color w:val="2E54A1" w:themeColor="accent1" w:themeShade="BF"/>
      <w:sz w:val="28"/>
      <w:szCs w:val="24"/>
    </w:rPr>
  </w:style>
  <w:style w:type="paragraph" w:styleId="23">
    <w:name w:val="List Paragraph"/>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2398</Words>
  <Characters>2516</Characters>
  <Lines>0</Lines>
  <Paragraphs>0</Paragraphs>
  <TotalTime>62</TotalTime>
  <ScaleCrop>false</ScaleCrop>
  <LinksUpToDate>false</LinksUpToDate>
  <CharactersWithSpaces>2522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2023-09-17T13:11:00Z</dcterms:created>
  <dc:creator>舍得</dc:creator>
  <cp:lastModifiedBy>WPS_1602071983</cp:lastModifiedBy>
  <dcterms:modified xsi:type="dcterms:W3CDTF">2025-06-13T01:26:24Z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290CEC3E6121456E9638C7554E527E21_13</vt:lpwstr>
  </property>
  <property fmtid="{D5CDD505-2E9C-101B-9397-08002B2CF9AE}" pid="4" name="KSOTemplateDocerSaveRecord">
    <vt:lpwstr>eyJoZGlkIjoiNGY4MTU1MTI1ODZlODQ5ZTUyNmNlYjU4NWQ4MDJiZDEiLCJ1c2VySWQiOiIxMTI4MjQ1NjExIn0=</vt:lpwstr>
  </property>
</Properties>
</file>